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ind w:firstLine="0" w:firstLineChars="0"/>
        <w:rPr>
          <w:rFonts w:ascii="黑体" w:hAnsi="黑体" w:eastAsia="黑体" w:cs="等线"/>
          <w:b/>
          <w:bCs/>
          <w:sz w:val="44"/>
          <w:szCs w:val="44"/>
        </w:rPr>
      </w:pPr>
      <w:bookmarkStart w:id="21" w:name="_GoBack"/>
      <w:bookmarkEnd w:id="21"/>
    </w:p>
    <w:p>
      <w:pPr>
        <w:pStyle w:val="17"/>
        <w:spacing w:line="360" w:lineRule="auto"/>
        <w:ind w:firstLine="0" w:firstLineChars="0"/>
        <w:rPr>
          <w:rFonts w:ascii="黑体" w:hAnsi="黑体" w:eastAsia="黑体" w:cs="等线"/>
          <w:b/>
          <w:bCs/>
          <w:sz w:val="44"/>
          <w:szCs w:val="44"/>
        </w:rPr>
      </w:pPr>
    </w:p>
    <w:p>
      <w:pPr>
        <w:pStyle w:val="17"/>
        <w:spacing w:line="360" w:lineRule="auto"/>
        <w:ind w:firstLine="0" w:firstLineChars="0"/>
        <w:rPr>
          <w:rFonts w:ascii="黑体" w:hAnsi="黑体" w:eastAsia="黑体" w:cs="等线"/>
          <w:b/>
          <w:bCs/>
          <w:sz w:val="44"/>
          <w:szCs w:val="44"/>
        </w:rPr>
      </w:pPr>
    </w:p>
    <w:p>
      <w:pPr>
        <w:pStyle w:val="17"/>
        <w:spacing w:line="360" w:lineRule="auto"/>
        <w:ind w:firstLine="0" w:firstLineChars="0"/>
        <w:rPr>
          <w:rFonts w:ascii="黑体" w:hAnsi="黑体" w:eastAsia="黑体" w:cs="等线"/>
          <w:b/>
          <w:bCs/>
          <w:sz w:val="44"/>
          <w:szCs w:val="44"/>
        </w:rPr>
      </w:pPr>
    </w:p>
    <w:p>
      <w:pPr>
        <w:pStyle w:val="17"/>
        <w:spacing w:line="360" w:lineRule="auto"/>
        <w:ind w:firstLine="0" w:firstLineChars="0"/>
        <w:rPr>
          <w:rFonts w:ascii="黑体" w:hAnsi="黑体" w:eastAsia="黑体" w:cs="等线"/>
          <w:b/>
          <w:bCs/>
          <w:sz w:val="44"/>
          <w:szCs w:val="44"/>
        </w:rPr>
      </w:pPr>
    </w:p>
    <w:p>
      <w:pPr>
        <w:pStyle w:val="17"/>
        <w:spacing w:line="360" w:lineRule="auto"/>
        <w:ind w:firstLine="0" w:firstLineChars="0"/>
        <w:rPr>
          <w:rFonts w:ascii="黑体" w:hAnsi="黑体" w:eastAsia="黑体" w:cs="等线"/>
          <w:b/>
          <w:bCs/>
          <w:sz w:val="44"/>
          <w:szCs w:val="44"/>
        </w:rPr>
      </w:pPr>
    </w:p>
    <w:p>
      <w:pPr>
        <w:pStyle w:val="17"/>
        <w:spacing w:line="360" w:lineRule="auto"/>
        <w:ind w:firstLine="0" w:firstLineChars="0"/>
        <w:rPr>
          <w:rFonts w:ascii="黑体" w:hAnsi="黑体" w:eastAsia="黑体" w:cs="等线"/>
          <w:b/>
          <w:bCs/>
          <w:sz w:val="44"/>
          <w:szCs w:val="44"/>
        </w:rPr>
      </w:pPr>
    </w:p>
    <w:p>
      <w:pPr>
        <w:pStyle w:val="17"/>
        <w:spacing w:line="480" w:lineRule="auto"/>
        <w:ind w:firstLine="0" w:firstLineChars="0"/>
        <w:jc w:val="center"/>
        <w:rPr>
          <w:rFonts w:ascii="黑体" w:hAnsi="黑体" w:eastAsia="黑体" w:cs="等线"/>
          <w:b/>
          <w:bCs/>
          <w:sz w:val="52"/>
          <w:szCs w:val="52"/>
        </w:rPr>
      </w:pPr>
      <w:r>
        <w:rPr>
          <w:rFonts w:hint="eastAsia" w:ascii="黑体" w:hAnsi="黑体" w:eastAsia="黑体" w:cs="等线"/>
          <w:b/>
          <w:bCs/>
          <w:sz w:val="52"/>
          <w:szCs w:val="52"/>
        </w:rPr>
        <w:t>2019年上海市研究生学术论坛</w:t>
      </w:r>
    </w:p>
    <w:p>
      <w:pPr>
        <w:pStyle w:val="17"/>
        <w:spacing w:line="480" w:lineRule="auto"/>
        <w:ind w:firstLine="0" w:firstLineChars="0"/>
        <w:jc w:val="center"/>
        <w:rPr>
          <w:rFonts w:ascii="黑体" w:hAnsi="黑体" w:eastAsia="黑体" w:cs="等线"/>
          <w:b/>
          <w:bCs/>
          <w:sz w:val="52"/>
          <w:szCs w:val="52"/>
        </w:rPr>
      </w:pPr>
      <w:r>
        <w:rPr>
          <w:rFonts w:hint="eastAsia" w:ascii="黑体" w:hAnsi="黑体" w:eastAsia="黑体" w:cs="等线"/>
          <w:b/>
          <w:bCs/>
          <w:sz w:val="52"/>
          <w:szCs w:val="52"/>
        </w:rPr>
        <w:t>——法律案例分析大赛章程</w:t>
      </w:r>
    </w:p>
    <w:p>
      <w:pPr>
        <w:pStyle w:val="17"/>
        <w:spacing w:line="360" w:lineRule="auto"/>
        <w:ind w:firstLine="0" w:firstLineChars="0"/>
        <w:jc w:val="right"/>
        <w:rPr>
          <w:rFonts w:ascii="宋体" w:hAnsi="宋体" w:cs="等线"/>
          <w:sz w:val="30"/>
          <w:szCs w:val="30"/>
        </w:rPr>
      </w:pPr>
    </w:p>
    <w:p>
      <w:pPr>
        <w:pStyle w:val="17"/>
        <w:spacing w:line="360" w:lineRule="auto"/>
        <w:ind w:firstLine="0" w:firstLineChars="0"/>
        <w:jc w:val="right"/>
        <w:rPr>
          <w:rFonts w:ascii="宋体" w:hAnsi="宋体" w:cs="等线"/>
          <w:sz w:val="30"/>
          <w:szCs w:val="30"/>
        </w:rPr>
      </w:pPr>
    </w:p>
    <w:p>
      <w:pPr>
        <w:pStyle w:val="17"/>
        <w:spacing w:line="360" w:lineRule="auto"/>
        <w:ind w:firstLine="0" w:firstLineChars="0"/>
        <w:jc w:val="right"/>
        <w:rPr>
          <w:rFonts w:ascii="宋体" w:hAnsi="宋体" w:cs="等线"/>
          <w:sz w:val="30"/>
          <w:szCs w:val="30"/>
        </w:rPr>
      </w:pPr>
    </w:p>
    <w:p>
      <w:pPr>
        <w:pStyle w:val="17"/>
        <w:spacing w:line="360" w:lineRule="auto"/>
        <w:ind w:firstLine="0" w:firstLineChars="0"/>
        <w:jc w:val="right"/>
        <w:rPr>
          <w:rFonts w:ascii="宋体" w:hAnsi="宋体" w:cs="等线"/>
          <w:sz w:val="30"/>
          <w:szCs w:val="30"/>
        </w:rPr>
      </w:pPr>
    </w:p>
    <w:p>
      <w:pPr>
        <w:pStyle w:val="17"/>
        <w:spacing w:line="360" w:lineRule="auto"/>
        <w:ind w:firstLine="0" w:firstLineChars="0"/>
        <w:jc w:val="right"/>
        <w:rPr>
          <w:rFonts w:ascii="宋体" w:hAnsi="宋体" w:cs="等线"/>
          <w:sz w:val="30"/>
          <w:szCs w:val="30"/>
        </w:rPr>
      </w:pPr>
    </w:p>
    <w:p>
      <w:pPr>
        <w:pStyle w:val="17"/>
        <w:spacing w:line="360" w:lineRule="auto"/>
        <w:ind w:right="1200" w:firstLine="0" w:firstLineChars="0"/>
        <w:rPr>
          <w:rFonts w:ascii="宋体" w:hAnsi="宋体" w:cs="等线"/>
          <w:sz w:val="30"/>
          <w:szCs w:val="30"/>
        </w:rPr>
      </w:pPr>
    </w:p>
    <w:p>
      <w:pPr>
        <w:pStyle w:val="17"/>
        <w:spacing w:line="360" w:lineRule="auto"/>
        <w:ind w:firstLine="0" w:firstLineChars="0"/>
        <w:jc w:val="right"/>
        <w:rPr>
          <w:rFonts w:ascii="宋体" w:hAnsi="宋体" w:cs="等线"/>
          <w:b/>
          <w:bCs/>
          <w:sz w:val="32"/>
          <w:szCs w:val="32"/>
        </w:rPr>
      </w:pPr>
      <w:r>
        <w:rPr>
          <w:rFonts w:hint="eastAsia" w:ascii="宋体" w:hAnsi="宋体" w:cs="等线"/>
          <w:b/>
          <w:bCs/>
          <w:sz w:val="32"/>
          <w:szCs w:val="32"/>
        </w:rPr>
        <w:t>上海市学位委员会办公室</w:t>
      </w:r>
    </w:p>
    <w:p>
      <w:pPr>
        <w:pStyle w:val="17"/>
        <w:spacing w:line="360" w:lineRule="auto"/>
        <w:ind w:firstLine="0" w:firstLineChars="0"/>
        <w:jc w:val="right"/>
        <w:rPr>
          <w:rFonts w:ascii="宋体" w:hAnsi="宋体" w:cs="等线"/>
          <w:b/>
          <w:bCs/>
          <w:sz w:val="32"/>
          <w:szCs w:val="32"/>
        </w:rPr>
      </w:pPr>
      <w:r>
        <w:rPr>
          <w:rFonts w:hint="eastAsia" w:ascii="宋体" w:hAnsi="宋体" w:cs="等线"/>
          <w:b/>
          <w:bCs/>
          <w:sz w:val="32"/>
          <w:szCs w:val="32"/>
        </w:rPr>
        <w:t>上海政法学院</w:t>
      </w:r>
    </w:p>
    <w:p>
      <w:pPr>
        <w:pStyle w:val="17"/>
        <w:spacing w:line="360" w:lineRule="auto"/>
        <w:ind w:firstLine="0" w:firstLineChars="0"/>
        <w:jc w:val="right"/>
        <w:rPr>
          <w:rFonts w:ascii="宋体" w:hAnsi="宋体" w:cs="等线"/>
          <w:b/>
          <w:bCs/>
          <w:sz w:val="32"/>
          <w:szCs w:val="32"/>
        </w:rPr>
      </w:pPr>
      <w:r>
        <w:rPr>
          <w:rFonts w:hint="eastAsia" w:ascii="宋体" w:hAnsi="宋体" w:cs="等线"/>
          <w:b/>
          <w:bCs/>
          <w:sz w:val="32"/>
          <w:szCs w:val="32"/>
        </w:rPr>
        <w:t>上海政法学院研究生会暨学生会研究生工作委员会</w:t>
      </w:r>
    </w:p>
    <w:p>
      <w:pPr>
        <w:pStyle w:val="17"/>
        <w:spacing w:line="360" w:lineRule="auto"/>
        <w:ind w:firstLine="0" w:firstLineChars="0"/>
        <w:jc w:val="right"/>
        <w:rPr>
          <w:rFonts w:ascii="宋体" w:hAnsi="宋体" w:cs="等线"/>
          <w:b/>
          <w:bCs/>
          <w:sz w:val="32"/>
          <w:szCs w:val="32"/>
        </w:rPr>
      </w:pPr>
      <w:r>
        <w:rPr>
          <w:rFonts w:hint="eastAsia" w:ascii="宋体" w:hAnsi="宋体" w:cs="等线"/>
          <w:b/>
          <w:bCs/>
          <w:sz w:val="32"/>
          <w:szCs w:val="32"/>
        </w:rPr>
        <w:t>2019年6月</w:t>
      </w:r>
    </w:p>
    <w:p>
      <w:pPr>
        <w:pStyle w:val="17"/>
        <w:spacing w:line="360" w:lineRule="auto"/>
        <w:ind w:firstLine="0" w:firstLineChars="0"/>
        <w:jc w:val="right"/>
        <w:rPr>
          <w:rFonts w:ascii="宋体" w:hAnsi="宋体" w:cs="等线"/>
          <w:b/>
          <w:bCs/>
          <w:sz w:val="32"/>
          <w:szCs w:val="32"/>
        </w:rPr>
      </w:pPr>
      <w:r>
        <w:rPr>
          <w:rFonts w:ascii="宋体" w:hAnsi="宋体" w:cs="等线"/>
          <w:b/>
          <w:bCs/>
          <w:sz w:val="32"/>
          <w:szCs w:val="32"/>
        </w:rPr>
        <w:br w:type="page"/>
      </w:r>
    </w:p>
    <w:p>
      <w:pPr>
        <w:pStyle w:val="21"/>
        <w:jc w:val="center"/>
        <w:rPr>
          <w:rFonts w:ascii="黑体" w:hAnsi="黑体" w:eastAsia="黑体"/>
          <w:b/>
          <w:bCs/>
          <w:color w:val="000000"/>
          <w:lang w:val="zh-CN"/>
        </w:rPr>
      </w:pPr>
      <w:r>
        <w:rPr>
          <w:rFonts w:ascii="黑体" w:hAnsi="黑体" w:eastAsia="黑体"/>
          <w:b/>
          <w:bCs/>
          <w:color w:val="000000"/>
          <w:lang w:val="zh-CN"/>
        </w:rPr>
        <w:t>目</w:t>
      </w:r>
      <w:r>
        <w:rPr>
          <w:rFonts w:hint="eastAsia" w:ascii="黑体" w:hAnsi="黑体" w:eastAsia="黑体"/>
          <w:b/>
          <w:bCs/>
          <w:color w:val="000000"/>
          <w:lang w:val="zh-CN"/>
        </w:rPr>
        <w:t xml:space="preserve"> </w:t>
      </w:r>
      <w:r>
        <w:rPr>
          <w:rFonts w:ascii="黑体" w:hAnsi="黑体" w:eastAsia="黑体"/>
          <w:b/>
          <w:bCs/>
          <w:color w:val="000000"/>
          <w:lang w:val="zh-CN"/>
        </w:rPr>
        <w:t>录</w:t>
      </w:r>
    </w:p>
    <w:p>
      <w:pPr>
        <w:rPr>
          <w:lang w:val="zh-CN"/>
        </w:rPr>
      </w:pPr>
    </w:p>
    <w:p>
      <w:pPr>
        <w:pStyle w:val="7"/>
        <w:tabs>
          <w:tab w:val="right" w:leader="dot" w:pos="8296"/>
        </w:tabs>
        <w:rPr>
          <w:rFonts w:ascii="仿宋" w:hAnsi="仿宋" w:eastAsia="仿宋"/>
          <w:kern w:val="2"/>
          <w:szCs w:val="24"/>
        </w:rPr>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"_Toc11972411" </w:instrText>
      </w:r>
      <w:r>
        <w:fldChar w:fldCharType="separate"/>
      </w:r>
      <w:r>
        <w:rPr>
          <w:rStyle w:val="14"/>
          <w:rFonts w:ascii="仿宋" w:hAnsi="仿宋" w:eastAsia="仿宋"/>
          <w:sz w:val="24"/>
          <w:szCs w:val="24"/>
        </w:rPr>
        <w:t>第一章 总则</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_Toc11972411 \h </w:instrText>
      </w:r>
      <w:r>
        <w:rPr>
          <w:rFonts w:ascii="仿宋" w:hAnsi="仿宋" w:eastAsia="仿宋"/>
          <w:sz w:val="24"/>
          <w:szCs w:val="24"/>
        </w:rPr>
        <w:fldChar w:fldCharType="separate"/>
      </w:r>
      <w:r>
        <w:rPr>
          <w:rFonts w:ascii="仿宋" w:hAnsi="仿宋" w:eastAsia="仿宋"/>
          <w:sz w:val="24"/>
          <w:szCs w:val="24"/>
        </w:rPr>
        <w:t>3</w:t>
      </w:r>
      <w:r>
        <w:rPr>
          <w:rFonts w:ascii="仿宋" w:hAnsi="仿宋" w:eastAsia="仿宋"/>
          <w:sz w:val="24"/>
          <w:szCs w:val="24"/>
        </w:rPr>
        <w:fldChar w:fldCharType="end"/>
      </w:r>
      <w:r>
        <w:rPr>
          <w:rFonts w:ascii="仿宋" w:hAnsi="仿宋" w:eastAsia="仿宋"/>
          <w:sz w:val="24"/>
          <w:szCs w:val="24"/>
        </w:rPr>
        <w:fldChar w:fldCharType="end"/>
      </w:r>
    </w:p>
    <w:p>
      <w:pPr>
        <w:pStyle w:val="9"/>
        <w:ind w:firstLine="220"/>
        <w:rPr>
          <w:kern w:val="2"/>
        </w:rPr>
      </w:pPr>
      <w:r>
        <w:fldChar w:fldCharType="begin"/>
      </w:r>
      <w:r>
        <w:instrText xml:space="preserve"> HYPERLINK \l "_Toc11972412" </w:instrText>
      </w:r>
      <w:r>
        <w:fldChar w:fldCharType="separate"/>
      </w:r>
      <w:r>
        <w:rPr>
          <w:rStyle w:val="14"/>
          <w:rFonts w:ascii="仿宋" w:hAnsi="仿宋" w:eastAsia="仿宋"/>
          <w:sz w:val="24"/>
          <w:szCs w:val="24"/>
        </w:rPr>
        <w:t>第一节 比赛宗旨与原则</w:t>
      </w:r>
      <w:r>
        <w:tab/>
      </w:r>
      <w:r>
        <w:fldChar w:fldCharType="begin"/>
      </w:r>
      <w:r>
        <w:instrText xml:space="preserve"> PAGEREF _Toc11972412 \h </w:instrText>
      </w:r>
      <w:r>
        <w:fldChar w:fldCharType="separate"/>
      </w:r>
      <w:r>
        <w:t>3</w:t>
      </w:r>
      <w:r>
        <w:fldChar w:fldCharType="end"/>
      </w:r>
      <w:r>
        <w:fldChar w:fldCharType="end"/>
      </w:r>
    </w:p>
    <w:p>
      <w:pPr>
        <w:pStyle w:val="9"/>
        <w:ind w:firstLine="220"/>
        <w:rPr>
          <w:kern w:val="2"/>
        </w:rPr>
      </w:pPr>
      <w:r>
        <w:fldChar w:fldCharType="begin"/>
      </w:r>
      <w:r>
        <w:instrText xml:space="preserve"> HYPERLINK \l "_Toc11972413" </w:instrText>
      </w:r>
      <w:r>
        <w:fldChar w:fldCharType="separate"/>
      </w:r>
      <w:r>
        <w:rPr>
          <w:rStyle w:val="14"/>
          <w:rFonts w:ascii="仿宋" w:hAnsi="仿宋" w:eastAsia="仿宋"/>
          <w:sz w:val="24"/>
          <w:szCs w:val="24"/>
        </w:rPr>
        <w:t>第二节 比赛时间</w:t>
      </w:r>
      <w:r>
        <w:tab/>
      </w:r>
      <w:r>
        <w:fldChar w:fldCharType="begin"/>
      </w:r>
      <w:r>
        <w:instrText xml:space="preserve"> PAGEREF _Toc11972413 \h </w:instrText>
      </w:r>
      <w:r>
        <w:fldChar w:fldCharType="separate"/>
      </w:r>
      <w:r>
        <w:t>3</w:t>
      </w:r>
      <w:r>
        <w:fldChar w:fldCharType="end"/>
      </w:r>
      <w:r>
        <w:fldChar w:fldCharType="end"/>
      </w:r>
    </w:p>
    <w:p>
      <w:pPr>
        <w:pStyle w:val="9"/>
        <w:ind w:firstLine="220"/>
        <w:rPr>
          <w:kern w:val="2"/>
        </w:rPr>
      </w:pPr>
      <w:r>
        <w:fldChar w:fldCharType="begin"/>
      </w:r>
      <w:r>
        <w:instrText xml:space="preserve"> HYPERLINK \l "_Toc11972414" </w:instrText>
      </w:r>
      <w:r>
        <w:fldChar w:fldCharType="separate"/>
      </w:r>
      <w:r>
        <w:rPr>
          <w:rStyle w:val="14"/>
          <w:rFonts w:ascii="仿宋" w:hAnsi="仿宋" w:eastAsia="仿宋"/>
          <w:sz w:val="24"/>
          <w:szCs w:val="24"/>
        </w:rPr>
        <w:t>第三节 举办单位</w:t>
      </w:r>
      <w:r>
        <w:tab/>
      </w:r>
      <w:r>
        <w:fldChar w:fldCharType="begin"/>
      </w:r>
      <w:r>
        <w:instrText xml:space="preserve"> PAGEREF _Toc11972414 \h </w:instrText>
      </w:r>
      <w:r>
        <w:fldChar w:fldCharType="separate"/>
      </w:r>
      <w:r>
        <w:t>4</w:t>
      </w:r>
      <w:r>
        <w:fldChar w:fldCharType="end"/>
      </w:r>
      <w:r>
        <w:fldChar w:fldCharType="end"/>
      </w:r>
    </w:p>
    <w:p>
      <w:pPr>
        <w:pStyle w:val="9"/>
        <w:ind w:firstLine="220"/>
        <w:rPr>
          <w:kern w:val="2"/>
        </w:rPr>
      </w:pPr>
      <w:r>
        <w:fldChar w:fldCharType="begin"/>
      </w:r>
      <w:r>
        <w:instrText xml:space="preserve"> HYPERLINK \l "_Toc11972415" </w:instrText>
      </w:r>
      <w:r>
        <w:fldChar w:fldCharType="separate"/>
      </w:r>
      <w:r>
        <w:rPr>
          <w:rStyle w:val="14"/>
          <w:rFonts w:ascii="仿宋" w:hAnsi="仿宋" w:eastAsia="仿宋"/>
          <w:sz w:val="24"/>
          <w:szCs w:val="24"/>
        </w:rPr>
        <w:t>第四节 比赛场地</w:t>
      </w:r>
      <w:r>
        <w:tab/>
      </w:r>
      <w:r>
        <w:fldChar w:fldCharType="begin"/>
      </w:r>
      <w:r>
        <w:instrText xml:space="preserve"> PAGEREF _Toc11972415 \h </w:instrText>
      </w:r>
      <w:r>
        <w:fldChar w:fldCharType="separate"/>
      </w:r>
      <w:r>
        <w:t>4</w:t>
      </w:r>
      <w:r>
        <w:fldChar w:fldCharType="end"/>
      </w:r>
      <w:r>
        <w:fldChar w:fldCharType="end"/>
      </w:r>
    </w:p>
    <w:p>
      <w:pPr>
        <w:pStyle w:val="7"/>
        <w:tabs>
          <w:tab w:val="right" w:leader="dot" w:pos="8296"/>
        </w:tabs>
        <w:rPr>
          <w:rFonts w:ascii="仿宋" w:hAnsi="仿宋" w:eastAsia="仿宋"/>
          <w:kern w:val="2"/>
          <w:szCs w:val="24"/>
        </w:rPr>
      </w:pPr>
      <w:r>
        <w:fldChar w:fldCharType="begin"/>
      </w:r>
      <w:r>
        <w:instrText xml:space="preserve"> HYPERLINK \l "_Toc11972416" </w:instrText>
      </w:r>
      <w:r>
        <w:fldChar w:fldCharType="separate"/>
      </w:r>
      <w:r>
        <w:rPr>
          <w:rStyle w:val="14"/>
          <w:rFonts w:ascii="仿宋" w:hAnsi="仿宋" w:eastAsia="仿宋"/>
          <w:sz w:val="24"/>
          <w:szCs w:val="24"/>
        </w:rPr>
        <w:t>第二章 组织机构</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_Toc11972416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pPr>
        <w:pStyle w:val="9"/>
        <w:ind w:firstLine="220"/>
        <w:rPr>
          <w:kern w:val="2"/>
        </w:rPr>
      </w:pPr>
      <w:r>
        <w:fldChar w:fldCharType="begin"/>
      </w:r>
      <w:r>
        <w:instrText xml:space="preserve"> HYPERLINK \l "_Toc11972417" </w:instrText>
      </w:r>
      <w:r>
        <w:fldChar w:fldCharType="separate"/>
      </w:r>
      <w:r>
        <w:rPr>
          <w:rStyle w:val="14"/>
          <w:rFonts w:ascii="仿宋" w:hAnsi="仿宋" w:eastAsia="仿宋"/>
          <w:sz w:val="24"/>
          <w:szCs w:val="24"/>
        </w:rPr>
        <w:t>第一节 组织委员会</w:t>
      </w:r>
      <w:r>
        <w:tab/>
      </w:r>
      <w:r>
        <w:fldChar w:fldCharType="begin"/>
      </w:r>
      <w:r>
        <w:instrText xml:space="preserve"> PAGEREF _Toc11972417 \h </w:instrText>
      </w:r>
      <w:r>
        <w:fldChar w:fldCharType="separate"/>
      </w:r>
      <w:r>
        <w:t>5</w:t>
      </w:r>
      <w:r>
        <w:fldChar w:fldCharType="end"/>
      </w:r>
      <w:r>
        <w:fldChar w:fldCharType="end"/>
      </w:r>
    </w:p>
    <w:p>
      <w:pPr>
        <w:pStyle w:val="9"/>
        <w:ind w:firstLine="220"/>
        <w:rPr>
          <w:kern w:val="2"/>
        </w:rPr>
      </w:pPr>
      <w:r>
        <w:fldChar w:fldCharType="begin"/>
      </w:r>
      <w:r>
        <w:instrText xml:space="preserve"> HYPERLINK \l "_Toc11972418" </w:instrText>
      </w:r>
      <w:r>
        <w:fldChar w:fldCharType="separate"/>
      </w:r>
      <w:r>
        <w:rPr>
          <w:rStyle w:val="14"/>
          <w:rFonts w:ascii="仿宋" w:hAnsi="仿宋" w:eastAsia="仿宋"/>
          <w:sz w:val="24"/>
          <w:szCs w:val="24"/>
        </w:rPr>
        <w:t>第二节 协调委员会</w:t>
      </w:r>
      <w:r>
        <w:tab/>
      </w:r>
      <w:r>
        <w:fldChar w:fldCharType="begin"/>
      </w:r>
      <w:r>
        <w:instrText xml:space="preserve"> PAGEREF _Toc11972418 \h </w:instrText>
      </w:r>
      <w:r>
        <w:fldChar w:fldCharType="separate"/>
      </w:r>
      <w:r>
        <w:t>5</w:t>
      </w:r>
      <w:r>
        <w:fldChar w:fldCharType="end"/>
      </w:r>
      <w:r>
        <w:fldChar w:fldCharType="end"/>
      </w:r>
    </w:p>
    <w:p>
      <w:pPr>
        <w:pStyle w:val="9"/>
        <w:ind w:firstLine="220"/>
        <w:rPr>
          <w:kern w:val="2"/>
        </w:rPr>
      </w:pPr>
      <w:r>
        <w:fldChar w:fldCharType="begin"/>
      </w:r>
      <w:r>
        <w:instrText xml:space="preserve"> HYPERLINK \l "_Toc11972419" </w:instrText>
      </w:r>
      <w:r>
        <w:fldChar w:fldCharType="separate"/>
      </w:r>
      <w:r>
        <w:rPr>
          <w:rStyle w:val="14"/>
          <w:rFonts w:ascii="仿宋" w:hAnsi="仿宋" w:eastAsia="仿宋"/>
          <w:sz w:val="24"/>
          <w:szCs w:val="24"/>
        </w:rPr>
        <w:t>第三节 评审委员会</w:t>
      </w:r>
      <w:r>
        <w:tab/>
      </w:r>
      <w:r>
        <w:fldChar w:fldCharType="begin"/>
      </w:r>
      <w:r>
        <w:instrText xml:space="preserve"> PAGEREF _Toc11972419 \h </w:instrText>
      </w:r>
      <w:r>
        <w:fldChar w:fldCharType="separate"/>
      </w:r>
      <w:r>
        <w:t>5</w:t>
      </w:r>
      <w:r>
        <w:fldChar w:fldCharType="end"/>
      </w:r>
      <w:r>
        <w:fldChar w:fldCharType="end"/>
      </w:r>
    </w:p>
    <w:p>
      <w:pPr>
        <w:pStyle w:val="7"/>
        <w:tabs>
          <w:tab w:val="right" w:leader="dot" w:pos="8296"/>
        </w:tabs>
        <w:rPr>
          <w:rFonts w:ascii="仿宋" w:hAnsi="仿宋" w:eastAsia="仿宋"/>
          <w:kern w:val="2"/>
          <w:szCs w:val="24"/>
        </w:rPr>
      </w:pPr>
      <w:r>
        <w:fldChar w:fldCharType="begin"/>
      </w:r>
      <w:r>
        <w:instrText xml:space="preserve"> HYPERLINK \l "_Toc11972420" </w:instrText>
      </w:r>
      <w:r>
        <w:fldChar w:fldCharType="separate"/>
      </w:r>
      <w:r>
        <w:rPr>
          <w:rStyle w:val="14"/>
          <w:rFonts w:ascii="仿宋" w:hAnsi="仿宋" w:eastAsia="仿宋"/>
          <w:sz w:val="24"/>
          <w:szCs w:val="24"/>
        </w:rPr>
        <w:t>第三章 比赛形式和参赛队伍</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_Toc11972420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9"/>
        <w:ind w:firstLine="220"/>
        <w:rPr>
          <w:kern w:val="2"/>
        </w:rPr>
      </w:pPr>
      <w:r>
        <w:fldChar w:fldCharType="begin"/>
      </w:r>
      <w:r>
        <w:instrText xml:space="preserve"> HYPERLINK \l "_Toc11972421" </w:instrText>
      </w:r>
      <w:r>
        <w:fldChar w:fldCharType="separate"/>
      </w:r>
      <w:r>
        <w:rPr>
          <w:rStyle w:val="14"/>
          <w:rFonts w:ascii="仿宋" w:hAnsi="仿宋" w:eastAsia="仿宋"/>
          <w:sz w:val="24"/>
          <w:szCs w:val="24"/>
        </w:rPr>
        <w:t>第一节 比赛形式</w:t>
      </w:r>
      <w:r>
        <w:tab/>
      </w:r>
      <w:r>
        <w:fldChar w:fldCharType="begin"/>
      </w:r>
      <w:r>
        <w:instrText xml:space="preserve"> PAGEREF _Toc11972421 \h </w:instrText>
      </w:r>
      <w:r>
        <w:fldChar w:fldCharType="separate"/>
      </w:r>
      <w:r>
        <w:t>6</w:t>
      </w:r>
      <w:r>
        <w:fldChar w:fldCharType="end"/>
      </w:r>
      <w:r>
        <w:fldChar w:fldCharType="end"/>
      </w:r>
    </w:p>
    <w:p>
      <w:pPr>
        <w:pStyle w:val="9"/>
        <w:ind w:firstLine="220"/>
        <w:rPr>
          <w:kern w:val="2"/>
        </w:rPr>
      </w:pPr>
      <w:r>
        <w:fldChar w:fldCharType="begin"/>
      </w:r>
      <w:r>
        <w:instrText xml:space="preserve"> HYPERLINK \l "_Toc11972422" </w:instrText>
      </w:r>
      <w:r>
        <w:fldChar w:fldCharType="separate"/>
      </w:r>
      <w:r>
        <w:rPr>
          <w:rStyle w:val="14"/>
          <w:rFonts w:ascii="仿宋" w:hAnsi="仿宋" w:eastAsia="仿宋"/>
          <w:sz w:val="24"/>
          <w:szCs w:val="24"/>
        </w:rPr>
        <w:t>第二节 参赛队伍</w:t>
      </w:r>
      <w:r>
        <w:tab/>
      </w:r>
      <w:r>
        <w:fldChar w:fldCharType="begin"/>
      </w:r>
      <w:r>
        <w:instrText xml:space="preserve"> PAGEREF _Toc11972422 \h </w:instrText>
      </w:r>
      <w:r>
        <w:fldChar w:fldCharType="separate"/>
      </w:r>
      <w:r>
        <w:t>7</w:t>
      </w:r>
      <w:r>
        <w:fldChar w:fldCharType="end"/>
      </w:r>
      <w:r>
        <w:fldChar w:fldCharType="end"/>
      </w:r>
    </w:p>
    <w:p>
      <w:pPr>
        <w:pStyle w:val="7"/>
        <w:tabs>
          <w:tab w:val="right" w:leader="dot" w:pos="8296"/>
        </w:tabs>
        <w:rPr>
          <w:rFonts w:ascii="仿宋" w:hAnsi="仿宋" w:eastAsia="仿宋"/>
          <w:kern w:val="2"/>
          <w:szCs w:val="24"/>
        </w:rPr>
      </w:pPr>
      <w:r>
        <w:fldChar w:fldCharType="begin"/>
      </w:r>
      <w:r>
        <w:instrText xml:space="preserve"> HYPERLINK \l "_Toc11972423" </w:instrText>
      </w:r>
      <w:r>
        <w:fldChar w:fldCharType="separate"/>
      </w:r>
      <w:r>
        <w:rPr>
          <w:rStyle w:val="14"/>
          <w:rFonts w:ascii="仿宋" w:hAnsi="仿宋" w:eastAsia="仿宋"/>
          <w:sz w:val="24"/>
          <w:szCs w:val="24"/>
        </w:rPr>
        <w:t>第四章 评判规则与评分细则</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_Toc11972423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9"/>
        <w:ind w:firstLine="220"/>
        <w:rPr>
          <w:kern w:val="2"/>
        </w:rPr>
      </w:pPr>
      <w:r>
        <w:fldChar w:fldCharType="begin"/>
      </w:r>
      <w:r>
        <w:instrText xml:space="preserve"> HYPERLINK \l "_Toc11972424" </w:instrText>
      </w:r>
      <w:r>
        <w:fldChar w:fldCharType="separate"/>
      </w:r>
      <w:r>
        <w:rPr>
          <w:rStyle w:val="14"/>
          <w:rFonts w:ascii="仿宋" w:hAnsi="仿宋" w:eastAsia="仿宋"/>
          <w:sz w:val="24"/>
          <w:szCs w:val="24"/>
        </w:rPr>
        <w:t>第一节 评判规则</w:t>
      </w:r>
      <w:r>
        <w:tab/>
      </w:r>
      <w:r>
        <w:fldChar w:fldCharType="begin"/>
      </w:r>
      <w:r>
        <w:instrText xml:space="preserve"> PAGEREF _Toc11972424 \h </w:instrText>
      </w:r>
      <w:r>
        <w:fldChar w:fldCharType="separate"/>
      </w:r>
      <w:r>
        <w:t>8</w:t>
      </w:r>
      <w:r>
        <w:fldChar w:fldCharType="end"/>
      </w:r>
      <w:r>
        <w:fldChar w:fldCharType="end"/>
      </w:r>
    </w:p>
    <w:p>
      <w:pPr>
        <w:pStyle w:val="9"/>
        <w:ind w:firstLine="220"/>
        <w:rPr>
          <w:kern w:val="2"/>
        </w:rPr>
      </w:pPr>
      <w:r>
        <w:fldChar w:fldCharType="begin"/>
      </w:r>
      <w:r>
        <w:instrText xml:space="preserve"> HYPERLINK \l "_Toc11972425" </w:instrText>
      </w:r>
      <w:r>
        <w:fldChar w:fldCharType="separate"/>
      </w:r>
      <w:r>
        <w:rPr>
          <w:rStyle w:val="14"/>
          <w:rFonts w:ascii="仿宋" w:hAnsi="仿宋" w:eastAsia="仿宋"/>
          <w:sz w:val="24"/>
          <w:szCs w:val="24"/>
        </w:rPr>
        <w:t>第二节 初赛阶段评分细则</w:t>
      </w:r>
      <w:r>
        <w:tab/>
      </w:r>
      <w:r>
        <w:fldChar w:fldCharType="begin"/>
      </w:r>
      <w:r>
        <w:instrText xml:space="preserve"> PAGEREF _Toc11972425 \h </w:instrText>
      </w:r>
      <w:r>
        <w:fldChar w:fldCharType="separate"/>
      </w:r>
      <w:r>
        <w:t>8</w:t>
      </w:r>
      <w:r>
        <w:fldChar w:fldCharType="end"/>
      </w:r>
      <w:r>
        <w:fldChar w:fldCharType="end"/>
      </w:r>
    </w:p>
    <w:p>
      <w:pPr>
        <w:pStyle w:val="9"/>
        <w:ind w:firstLine="220"/>
        <w:rPr>
          <w:kern w:val="2"/>
        </w:rPr>
      </w:pPr>
      <w:r>
        <w:fldChar w:fldCharType="begin"/>
      </w:r>
      <w:r>
        <w:instrText xml:space="preserve"> HYPERLINK \l "_Toc11972426" </w:instrText>
      </w:r>
      <w:r>
        <w:fldChar w:fldCharType="separate"/>
      </w:r>
      <w:r>
        <w:rPr>
          <w:rStyle w:val="14"/>
          <w:rFonts w:ascii="仿宋" w:hAnsi="仿宋" w:eastAsia="仿宋"/>
          <w:sz w:val="24"/>
          <w:szCs w:val="24"/>
        </w:rPr>
        <w:t>第三节 决赛阶段评分细则</w:t>
      </w:r>
      <w:r>
        <w:tab/>
      </w:r>
      <w:r>
        <w:fldChar w:fldCharType="begin"/>
      </w:r>
      <w:r>
        <w:instrText xml:space="preserve"> PAGEREF _Toc11972426 \h </w:instrText>
      </w:r>
      <w:r>
        <w:fldChar w:fldCharType="separate"/>
      </w:r>
      <w:r>
        <w:t>8</w:t>
      </w:r>
      <w:r>
        <w:fldChar w:fldCharType="end"/>
      </w:r>
      <w:r>
        <w:fldChar w:fldCharType="end"/>
      </w:r>
    </w:p>
    <w:p>
      <w:pPr>
        <w:pStyle w:val="7"/>
        <w:tabs>
          <w:tab w:val="right" w:leader="dot" w:pos="8296"/>
        </w:tabs>
        <w:rPr>
          <w:rFonts w:ascii="仿宋" w:hAnsi="仿宋" w:eastAsia="仿宋"/>
          <w:kern w:val="2"/>
          <w:szCs w:val="24"/>
        </w:rPr>
      </w:pPr>
      <w:r>
        <w:fldChar w:fldCharType="begin"/>
      </w:r>
      <w:r>
        <w:instrText xml:space="preserve"> HYPERLINK \l "_Toc11972427" </w:instrText>
      </w:r>
      <w:r>
        <w:fldChar w:fldCharType="separate"/>
      </w:r>
      <w:r>
        <w:rPr>
          <w:rStyle w:val="14"/>
          <w:rFonts w:ascii="仿宋" w:hAnsi="仿宋" w:eastAsia="仿宋"/>
          <w:sz w:val="24"/>
          <w:szCs w:val="24"/>
        </w:rPr>
        <w:t>第五章 附则</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_Toc11972427 \h </w:instrText>
      </w:r>
      <w:r>
        <w:rPr>
          <w:rFonts w:ascii="仿宋" w:hAnsi="仿宋" w:eastAsia="仿宋"/>
          <w:sz w:val="24"/>
          <w:szCs w:val="24"/>
        </w:rPr>
        <w:fldChar w:fldCharType="separate"/>
      </w:r>
      <w:r>
        <w:rPr>
          <w:rFonts w:ascii="仿宋" w:hAnsi="仿宋" w:eastAsia="仿宋"/>
          <w:sz w:val="24"/>
          <w:szCs w:val="24"/>
        </w:rPr>
        <w:t>10</w:t>
      </w:r>
      <w:r>
        <w:rPr>
          <w:rFonts w:ascii="仿宋" w:hAnsi="仿宋" w:eastAsia="仿宋"/>
          <w:sz w:val="24"/>
          <w:szCs w:val="24"/>
        </w:rPr>
        <w:fldChar w:fldCharType="end"/>
      </w:r>
      <w:r>
        <w:rPr>
          <w:rFonts w:ascii="仿宋" w:hAnsi="仿宋" w:eastAsia="仿宋"/>
          <w:sz w:val="24"/>
          <w:szCs w:val="24"/>
        </w:rPr>
        <w:fldChar w:fldCharType="end"/>
      </w:r>
    </w:p>
    <w:p>
      <w:pPr>
        <w:pStyle w:val="9"/>
        <w:ind w:firstLine="220"/>
        <w:rPr>
          <w:kern w:val="2"/>
        </w:rPr>
      </w:pPr>
      <w:r>
        <w:fldChar w:fldCharType="begin"/>
      </w:r>
      <w:r>
        <w:instrText xml:space="preserve"> HYPERLINK \l "_Toc11972428" </w:instrText>
      </w:r>
      <w:r>
        <w:fldChar w:fldCharType="separate"/>
      </w:r>
      <w:r>
        <w:rPr>
          <w:rStyle w:val="14"/>
          <w:rFonts w:ascii="仿宋" w:hAnsi="仿宋" w:eastAsia="仿宋"/>
          <w:sz w:val="24"/>
          <w:szCs w:val="24"/>
        </w:rPr>
        <w:t>第一节 纪律</w:t>
      </w:r>
      <w:r>
        <w:tab/>
      </w:r>
      <w:r>
        <w:fldChar w:fldCharType="begin"/>
      </w:r>
      <w:r>
        <w:instrText xml:space="preserve"> PAGEREF _Toc11972428 \h </w:instrText>
      </w:r>
      <w:r>
        <w:fldChar w:fldCharType="separate"/>
      </w:r>
      <w:r>
        <w:t>10</w:t>
      </w:r>
      <w:r>
        <w:fldChar w:fldCharType="end"/>
      </w:r>
      <w:r>
        <w:fldChar w:fldCharType="end"/>
      </w:r>
    </w:p>
    <w:p>
      <w:pPr>
        <w:pStyle w:val="9"/>
        <w:ind w:firstLine="220"/>
        <w:rPr>
          <w:kern w:val="2"/>
        </w:rPr>
      </w:pPr>
      <w:r>
        <w:fldChar w:fldCharType="begin"/>
      </w:r>
      <w:r>
        <w:instrText xml:space="preserve"> HYPERLINK \l "_Toc11972429" </w:instrText>
      </w:r>
      <w:r>
        <w:fldChar w:fldCharType="separate"/>
      </w:r>
      <w:r>
        <w:rPr>
          <w:rStyle w:val="14"/>
          <w:rFonts w:ascii="仿宋" w:hAnsi="仿宋" w:eastAsia="仿宋"/>
          <w:sz w:val="24"/>
          <w:szCs w:val="24"/>
        </w:rPr>
        <w:t>第二节 奖项设置</w:t>
      </w:r>
      <w:r>
        <w:tab/>
      </w:r>
      <w:r>
        <w:fldChar w:fldCharType="begin"/>
      </w:r>
      <w:r>
        <w:instrText xml:space="preserve"> PAGEREF _Toc11972429 \h </w:instrText>
      </w:r>
      <w:r>
        <w:fldChar w:fldCharType="separate"/>
      </w:r>
      <w:r>
        <w:t>10</w:t>
      </w:r>
      <w:r>
        <w:fldChar w:fldCharType="end"/>
      </w:r>
      <w:r>
        <w:fldChar w:fldCharType="end"/>
      </w:r>
    </w:p>
    <w:p>
      <w:pPr>
        <w:pStyle w:val="9"/>
        <w:ind w:firstLine="220"/>
        <w:rPr>
          <w:kern w:val="2"/>
        </w:rPr>
      </w:pPr>
      <w:r>
        <w:fldChar w:fldCharType="begin"/>
      </w:r>
      <w:r>
        <w:instrText xml:space="preserve"> HYPERLINK \l "_Toc11972430" </w:instrText>
      </w:r>
      <w:r>
        <w:fldChar w:fldCharType="separate"/>
      </w:r>
      <w:r>
        <w:rPr>
          <w:rStyle w:val="14"/>
          <w:rFonts w:ascii="仿宋" w:hAnsi="仿宋" w:eastAsia="仿宋"/>
          <w:sz w:val="24"/>
          <w:szCs w:val="24"/>
        </w:rPr>
        <w:t>第三节 案例分析报告格式</w:t>
      </w:r>
      <w:r>
        <w:tab/>
      </w:r>
      <w:r>
        <w:fldChar w:fldCharType="begin"/>
      </w:r>
      <w:r>
        <w:instrText xml:space="preserve"> PAGEREF _Toc11972430 \h </w:instrText>
      </w:r>
      <w:r>
        <w:fldChar w:fldCharType="separate"/>
      </w:r>
      <w:r>
        <w:t>10</w:t>
      </w:r>
      <w:r>
        <w:fldChar w:fldCharType="end"/>
      </w:r>
      <w:r>
        <w:fldChar w:fldCharType="end"/>
      </w:r>
    </w:p>
    <w:p>
      <w:pPr>
        <w:pStyle w:val="9"/>
        <w:ind w:firstLine="220"/>
        <w:rPr>
          <w:kern w:val="2"/>
        </w:rPr>
      </w:pPr>
      <w:r>
        <w:fldChar w:fldCharType="begin"/>
      </w:r>
      <w:r>
        <w:instrText xml:space="preserve"> HYPERLINK \l "_Toc11972431" </w:instrText>
      </w:r>
      <w:r>
        <w:fldChar w:fldCharType="separate"/>
      </w:r>
      <w:r>
        <w:rPr>
          <w:rStyle w:val="14"/>
          <w:rFonts w:ascii="仿宋" w:hAnsi="仿宋" w:eastAsia="仿宋"/>
          <w:sz w:val="24"/>
          <w:szCs w:val="24"/>
        </w:rPr>
        <w:t>第四节 解释权及未尽事宜</w:t>
      </w:r>
      <w:r>
        <w:tab/>
      </w:r>
      <w:r>
        <w:fldChar w:fldCharType="begin"/>
      </w:r>
      <w:r>
        <w:instrText xml:space="preserve"> PAGEREF _Toc11972431 \h </w:instrText>
      </w:r>
      <w:r>
        <w:fldChar w:fldCharType="separate"/>
      </w:r>
      <w:r>
        <w:t>11</w:t>
      </w:r>
      <w:r>
        <w:fldChar w:fldCharType="end"/>
      </w:r>
      <w:r>
        <w:fldChar w:fldCharType="end"/>
      </w:r>
    </w:p>
    <w:p>
      <w:pPr>
        <w:pStyle w:val="2"/>
        <w:rPr>
          <w:sz w:val="21"/>
          <w:szCs w:val="24"/>
        </w:rPr>
      </w:pPr>
      <w:r>
        <w:rPr>
          <w:rFonts w:ascii="仿宋" w:hAnsi="仿宋" w:eastAsia="仿宋"/>
          <w:sz w:val="22"/>
          <w:szCs w:val="28"/>
          <w:lang w:val="zh-CN"/>
        </w:rPr>
        <w:fldChar w:fldCharType="end"/>
      </w:r>
      <w:r>
        <w:br w:type="page"/>
      </w:r>
      <w:bookmarkStart w:id="0" w:name="_Toc11972411"/>
      <w:r>
        <w:rPr>
          <w:rFonts w:hint="eastAsia"/>
        </w:rPr>
        <w:t>第一章 总则</w:t>
      </w:r>
      <w:bookmarkEnd w:id="0"/>
    </w:p>
    <w:p>
      <w:pPr>
        <w:pStyle w:val="8"/>
        <w:ind w:firstLine="602"/>
      </w:pPr>
      <w:bookmarkStart w:id="1" w:name="_Toc11972412"/>
      <w:r>
        <w:rPr>
          <w:rFonts w:hint="eastAsia"/>
        </w:rPr>
        <w:t>第一节 比赛宗旨与原则</w:t>
      </w:r>
      <w:bookmarkEnd w:id="1"/>
    </w:p>
    <w:p>
      <w:pPr>
        <w:pStyle w:val="17"/>
        <w:spacing w:line="480" w:lineRule="auto"/>
        <w:ind w:firstLine="480"/>
        <w:rPr>
          <w:rFonts w:ascii="宋体" w:hAnsi="宋体" w:cs="等线"/>
        </w:rPr>
      </w:pPr>
      <w:r>
        <w:rPr>
          <w:rFonts w:hint="eastAsia" w:ascii="宋体" w:hAnsi="宋体" w:cs="等线"/>
        </w:rPr>
        <w:t>上海市研究生学术论坛是上海市学位办为落实研究生教育创新计划而实施的项目之一，上海市各高校依托本项目结合各自学科背景面向上海市及全国研究生开展学术交流活动。自2006年开创以来，论坛的受关注程度不断提高，各高校研究生参与热情也不断高涨。</w:t>
      </w:r>
    </w:p>
    <w:p>
      <w:pPr>
        <w:pStyle w:val="17"/>
        <w:spacing w:line="480" w:lineRule="auto"/>
        <w:ind w:firstLine="480"/>
        <w:rPr>
          <w:rFonts w:ascii="宋体" w:hAnsi="宋体" w:cs="等线"/>
        </w:rPr>
      </w:pPr>
      <w:r>
        <w:rPr>
          <w:rFonts w:hint="eastAsia" w:ascii="宋体" w:hAnsi="宋体" w:cs="等线"/>
        </w:rPr>
        <w:t>随着研究生教育持续深入地发展，传统的研究生教育在观念、内容和方法上都发生了深刻的变化，研究范围也在不断拓展和深化。近年来，案例分析在全国各高校的法学教育中得到了广泛推广，并达到了理想效果。它能有效引导法学专业学生关注法律实务、投身实践，锻炼寻找问题、分析问题的能力，通过加强案例实训，培养具有严密逻辑推理能力和严谨治学实践态度的卓越法律人才。</w:t>
      </w:r>
    </w:p>
    <w:p>
      <w:pPr>
        <w:pStyle w:val="17"/>
        <w:spacing w:line="480" w:lineRule="auto"/>
        <w:ind w:firstLine="480"/>
        <w:rPr>
          <w:rFonts w:ascii="宋体" w:hAnsi="宋体" w:cs="等线"/>
        </w:rPr>
      </w:pPr>
      <w:r>
        <w:rPr>
          <w:rFonts w:hint="eastAsia" w:ascii="宋体" w:hAnsi="宋体" w:cs="等线"/>
        </w:rPr>
        <w:t>我校自2016年开始承办上海市研究生学术论坛，采用法律案例分析大赛的形式开展法学研究生学术交流活动，交由上海政法学院研究生处具体负责。目前，该大赛已经成功举办三届，逐渐形成以上海地区为基础，辐射全国法学专业研究生的相互交流的重要品牌活动，实现开阔视野、启迪智慧、提高学术能力和实践能力的目的，并营造勤于钻研、敢于探索、勇于创新、乐于交流的学术氛围，成为各院校法学学子增进友谊、互学互鉴的重要平台。</w:t>
      </w:r>
    </w:p>
    <w:p>
      <w:pPr>
        <w:pStyle w:val="17"/>
        <w:spacing w:line="480" w:lineRule="auto"/>
        <w:ind w:firstLine="480"/>
        <w:rPr>
          <w:rFonts w:ascii="宋体" w:hAnsi="宋体" w:cs="等线"/>
        </w:rPr>
      </w:pPr>
      <w:r>
        <w:rPr>
          <w:rFonts w:hint="eastAsia" w:ascii="宋体" w:hAnsi="宋体" w:cs="等线"/>
        </w:rPr>
        <w:t>本次大赛，秉持“公开、公平、公正”的原则，提倡积极参与，鼓励友好竞争。</w:t>
      </w:r>
    </w:p>
    <w:p>
      <w:pPr>
        <w:pStyle w:val="8"/>
        <w:ind w:firstLine="602"/>
        <w:rPr>
          <w:rFonts w:ascii="宋体" w:hAnsi="宋体" w:cs="等线"/>
        </w:rPr>
      </w:pPr>
      <w:bookmarkStart w:id="2" w:name="_Toc11972413"/>
      <w:r>
        <w:rPr>
          <w:rFonts w:hint="eastAsia"/>
        </w:rPr>
        <w:t>第二节 比赛时间</w:t>
      </w:r>
      <w:bookmarkEnd w:id="2"/>
    </w:p>
    <w:p>
      <w:pPr>
        <w:pStyle w:val="17"/>
        <w:spacing w:line="480" w:lineRule="auto"/>
        <w:ind w:firstLine="480"/>
        <w:rPr>
          <w:rFonts w:ascii="宋体" w:hAnsi="宋体" w:cs="等线"/>
        </w:rPr>
      </w:pPr>
      <w:r>
        <w:rPr>
          <w:rFonts w:hint="eastAsia" w:ascii="宋体" w:hAnsi="宋体" w:cs="等线"/>
        </w:rPr>
        <w:t>本次大赛共分两个阶段，初赛采用电子投稿和书面评审方式，评审结果拟定于2019年9月30日公布；决赛采用PPT演示、现场答辩和当场评审方式，决赛开展时间拟定于2019年10月中旬。</w:t>
      </w:r>
    </w:p>
    <w:p>
      <w:pPr>
        <w:pStyle w:val="8"/>
        <w:ind w:firstLine="602"/>
      </w:pPr>
      <w:bookmarkStart w:id="3" w:name="_Toc11972414"/>
      <w:r>
        <w:rPr>
          <w:rFonts w:hint="eastAsia"/>
        </w:rPr>
        <w:t>第三节 举办单位</w:t>
      </w:r>
      <w:bookmarkEnd w:id="3"/>
    </w:p>
    <w:p>
      <w:pPr>
        <w:pStyle w:val="17"/>
        <w:spacing w:line="480" w:lineRule="auto"/>
        <w:ind w:firstLine="480"/>
        <w:rPr>
          <w:rFonts w:ascii="宋体" w:hAnsi="宋体" w:cs="等线"/>
        </w:rPr>
      </w:pPr>
      <w:r>
        <w:rPr>
          <w:rFonts w:hint="eastAsia" w:ascii="宋体" w:hAnsi="宋体" w:cs="等线"/>
        </w:rPr>
        <w:t>主办单位：上海市学位委员会办公室</w:t>
      </w:r>
    </w:p>
    <w:p>
      <w:pPr>
        <w:pStyle w:val="17"/>
        <w:spacing w:line="480" w:lineRule="auto"/>
        <w:ind w:firstLine="480"/>
        <w:rPr>
          <w:rFonts w:ascii="宋体" w:hAnsi="宋体" w:cs="等线"/>
        </w:rPr>
      </w:pPr>
      <w:r>
        <w:rPr>
          <w:rFonts w:hint="eastAsia" w:ascii="宋体" w:hAnsi="宋体" w:cs="等线"/>
        </w:rPr>
        <w:t>承办单位：上海政法学院</w:t>
      </w:r>
    </w:p>
    <w:p>
      <w:pPr>
        <w:pStyle w:val="17"/>
        <w:spacing w:line="480" w:lineRule="auto"/>
        <w:ind w:firstLine="480"/>
        <w:rPr>
          <w:rFonts w:ascii="宋体" w:hAnsi="宋体" w:cs="等线"/>
        </w:rPr>
      </w:pPr>
      <w:r>
        <w:rPr>
          <w:rFonts w:hint="eastAsia" w:ascii="宋体" w:hAnsi="宋体" w:cs="等线"/>
        </w:rPr>
        <w:t>协办单位：上海政法学院研究生会暨学生会研究生工作委员会</w:t>
      </w:r>
    </w:p>
    <w:p>
      <w:pPr>
        <w:pStyle w:val="8"/>
        <w:ind w:firstLine="602"/>
      </w:pPr>
      <w:bookmarkStart w:id="4" w:name="_Toc11972415"/>
      <w:r>
        <w:rPr>
          <w:rFonts w:hint="eastAsia"/>
        </w:rPr>
        <w:t>第四节 比赛场地</w:t>
      </w:r>
      <w:bookmarkEnd w:id="4"/>
    </w:p>
    <w:p>
      <w:pPr>
        <w:pStyle w:val="17"/>
        <w:spacing w:line="480" w:lineRule="auto"/>
        <w:ind w:firstLine="480"/>
        <w:rPr>
          <w:rFonts w:ascii="宋体" w:hAnsi="宋体" w:cs="等线"/>
        </w:rPr>
      </w:pPr>
      <w:r>
        <w:rPr>
          <w:rFonts w:hint="eastAsia" w:ascii="宋体" w:hAnsi="宋体" w:cs="等线"/>
        </w:rPr>
        <w:t>本次大赛决赛场地为上海政法学院。</w:t>
      </w:r>
    </w:p>
    <w:p>
      <w:pPr>
        <w:pStyle w:val="17"/>
        <w:spacing w:line="480" w:lineRule="auto"/>
        <w:ind w:firstLine="480"/>
        <w:rPr>
          <w:rFonts w:ascii="宋体" w:hAnsi="宋体" w:cs="等线"/>
        </w:rPr>
      </w:pPr>
      <w:r>
        <w:rPr>
          <w:rFonts w:hint="eastAsia" w:ascii="宋体" w:hAnsi="宋体" w:cs="等线"/>
        </w:rPr>
        <w:t>地址：上海市青浦区外青松公路7989号。</w:t>
      </w:r>
    </w:p>
    <w:p>
      <w:pPr>
        <w:pStyle w:val="17"/>
        <w:spacing w:line="480" w:lineRule="auto"/>
        <w:ind w:firstLine="480"/>
        <w:rPr>
          <w:rFonts w:ascii="宋体" w:hAnsi="宋体" w:cs="等线"/>
        </w:rPr>
      </w:pPr>
      <w:r>
        <w:rPr>
          <w:rFonts w:hint="eastAsia" w:ascii="宋体" w:hAnsi="宋体" w:cs="等线"/>
        </w:rPr>
        <w:t>交通方式：地铁9号线（佘山站下车），转乘沪陈线或松青线至野马浜下车。</w:t>
      </w:r>
    </w:p>
    <w:p>
      <w:pPr>
        <w:pStyle w:val="17"/>
        <w:spacing w:line="480" w:lineRule="auto"/>
        <w:ind w:firstLine="480"/>
        <w:rPr>
          <w:rFonts w:ascii="宋体" w:hAnsi="宋体" w:cs="等线"/>
        </w:rPr>
      </w:pPr>
      <w:r>
        <w:rPr>
          <w:rFonts w:hint="eastAsia" w:ascii="宋体" w:hAnsi="宋体" w:cs="等线"/>
        </w:rPr>
        <w:t>赛事组委会为上海市市外高校的决赛选手报销往返上海的交通费（限火车硬座、硬卧、动车高铁二等座），每支市外队伍最多报销三人的交通费；为上海市市内高校的决赛选手报销市内交通费，食宿统一安排。</w:t>
      </w:r>
    </w:p>
    <w:p>
      <w:pPr>
        <w:pStyle w:val="2"/>
      </w:pPr>
      <w:r>
        <w:br w:type="page"/>
      </w:r>
      <w:bookmarkStart w:id="5" w:name="_Toc11972416"/>
      <w:r>
        <w:rPr>
          <w:rFonts w:hint="eastAsia"/>
        </w:rPr>
        <w:t>第二章 组织机构</w:t>
      </w:r>
      <w:bookmarkEnd w:id="5"/>
    </w:p>
    <w:p>
      <w:pPr>
        <w:pStyle w:val="8"/>
        <w:ind w:firstLine="602"/>
      </w:pPr>
      <w:bookmarkStart w:id="6" w:name="_Toc11972417"/>
      <w:r>
        <w:rPr>
          <w:rFonts w:hint="eastAsia"/>
        </w:rPr>
        <w:t>第一节 组织委员会</w:t>
      </w:r>
      <w:bookmarkEnd w:id="6"/>
    </w:p>
    <w:p>
      <w:pPr>
        <w:pStyle w:val="17"/>
        <w:spacing w:line="480" w:lineRule="auto"/>
        <w:ind w:firstLine="480"/>
        <w:rPr>
          <w:rFonts w:ascii="宋体" w:hAnsi="宋体" w:cs="等线"/>
        </w:rPr>
      </w:pPr>
      <w:r>
        <w:rPr>
          <w:rFonts w:hint="eastAsia" w:ascii="宋体" w:hAnsi="宋体" w:cs="等线"/>
        </w:rPr>
        <w:t>本次大赛组织委员会由主办单位和承办单位共同构成。组织委员会办公室设于上海政法学院研究生处。</w:t>
      </w:r>
    </w:p>
    <w:p>
      <w:pPr>
        <w:pStyle w:val="8"/>
        <w:ind w:firstLine="602"/>
      </w:pPr>
      <w:bookmarkStart w:id="7" w:name="_Toc11972418"/>
      <w:r>
        <w:rPr>
          <w:rFonts w:hint="eastAsia"/>
        </w:rPr>
        <w:t>第二节 协调委员会</w:t>
      </w:r>
      <w:bookmarkEnd w:id="7"/>
    </w:p>
    <w:p>
      <w:pPr>
        <w:pStyle w:val="17"/>
        <w:spacing w:line="480" w:lineRule="auto"/>
        <w:ind w:firstLine="480"/>
        <w:rPr>
          <w:rFonts w:ascii="宋体" w:hAnsi="宋体" w:cs="等线"/>
        </w:rPr>
      </w:pPr>
      <w:r>
        <w:rPr>
          <w:rFonts w:hint="eastAsia" w:ascii="宋体" w:hAnsi="宋体" w:cs="等线"/>
        </w:rPr>
        <w:t>本次大赛协调委员会为上海政法学院研究生会暨学生会研究生工作委员会，具体负责大赛的筹备、报名、评选、颁奖及宣传等事宜。</w:t>
      </w:r>
    </w:p>
    <w:p>
      <w:pPr>
        <w:pStyle w:val="17"/>
        <w:spacing w:line="480" w:lineRule="auto"/>
        <w:ind w:firstLine="480"/>
        <w:rPr>
          <w:rFonts w:ascii="宋体" w:hAnsi="宋体" w:cs="等线"/>
        </w:rPr>
      </w:pPr>
      <w:r>
        <w:rPr>
          <w:rFonts w:hint="eastAsia" w:ascii="宋体" w:hAnsi="宋体" w:cs="等线"/>
        </w:rPr>
        <w:t>协调委员会设统筹策划人一名，负责人两名，委员若干名（设案例组、会务组，分别各自负责相关具体事宜）。</w:t>
      </w:r>
    </w:p>
    <w:p>
      <w:pPr>
        <w:pStyle w:val="17"/>
        <w:spacing w:line="480" w:lineRule="auto"/>
        <w:ind w:firstLine="480"/>
        <w:rPr>
          <w:rFonts w:ascii="宋体" w:hAnsi="宋体" w:cs="等线"/>
        </w:rPr>
      </w:pPr>
      <w:r>
        <w:rPr>
          <w:rFonts w:hint="eastAsia" w:ascii="宋体" w:hAnsi="宋体" w:cs="等线"/>
        </w:rPr>
        <w:t>协调委员会全体成员将签订大赛信息保密协议，有义务对大赛相关信息保密，在未经组织委员会允许的情况下，不得透露任何大赛信息。</w:t>
      </w:r>
    </w:p>
    <w:p>
      <w:pPr>
        <w:pStyle w:val="8"/>
        <w:ind w:firstLine="602"/>
      </w:pPr>
      <w:bookmarkStart w:id="8" w:name="_Toc11972419"/>
      <w:r>
        <w:rPr>
          <w:rFonts w:hint="eastAsia"/>
        </w:rPr>
        <w:t>第三节 评审委员会</w:t>
      </w:r>
      <w:bookmarkEnd w:id="8"/>
    </w:p>
    <w:p>
      <w:pPr>
        <w:pStyle w:val="17"/>
        <w:spacing w:line="480" w:lineRule="auto"/>
        <w:ind w:firstLine="480"/>
        <w:rPr>
          <w:rFonts w:ascii="宋体" w:hAnsi="宋体" w:cs="等线"/>
        </w:rPr>
      </w:pPr>
      <w:r>
        <w:rPr>
          <w:rFonts w:hint="eastAsia" w:ascii="宋体" w:hAnsi="宋体" w:cs="等线"/>
        </w:rPr>
        <w:t xml:space="preserve">评审委员会由组织委员会提名产生，由法学界资深学者、各院校法学院资深教师、社会各界的法律职业者组成。 </w:t>
      </w:r>
    </w:p>
    <w:p>
      <w:pPr>
        <w:pStyle w:val="17"/>
        <w:spacing w:line="480" w:lineRule="auto"/>
        <w:ind w:firstLine="480"/>
        <w:rPr>
          <w:rFonts w:ascii="宋体" w:hAnsi="宋体" w:cs="等线"/>
        </w:rPr>
      </w:pPr>
      <w:r>
        <w:rPr>
          <w:rFonts w:hint="eastAsia" w:ascii="宋体" w:hAnsi="宋体" w:cs="等线"/>
        </w:rPr>
        <w:t>评审委员会负责大赛的评审工作。</w:t>
      </w:r>
    </w:p>
    <w:p>
      <w:pPr>
        <w:pStyle w:val="2"/>
      </w:pPr>
      <w:r>
        <w:br w:type="page"/>
      </w:r>
      <w:bookmarkStart w:id="9" w:name="_Toc11972420"/>
      <w:r>
        <w:rPr>
          <w:rFonts w:hint="eastAsia"/>
        </w:rPr>
        <w:t>第三章 比赛形式和参赛队伍</w:t>
      </w:r>
      <w:bookmarkEnd w:id="9"/>
    </w:p>
    <w:p>
      <w:pPr>
        <w:pStyle w:val="8"/>
        <w:ind w:firstLine="602"/>
      </w:pPr>
      <w:bookmarkStart w:id="10" w:name="_Toc11972421"/>
      <w:r>
        <w:rPr>
          <w:rFonts w:hint="eastAsia"/>
        </w:rPr>
        <w:t>第一节 比赛形式</w:t>
      </w:r>
      <w:bookmarkEnd w:id="10"/>
    </w:p>
    <w:p>
      <w:pPr>
        <w:pStyle w:val="17"/>
        <w:spacing w:line="480" w:lineRule="auto"/>
        <w:ind w:firstLine="480"/>
        <w:rPr>
          <w:rFonts w:ascii="宋体" w:hAnsi="宋体" w:cs="等线"/>
        </w:rPr>
      </w:pPr>
      <w:r>
        <w:rPr>
          <w:rFonts w:hint="eastAsia" w:ascii="宋体" w:hAnsi="宋体" w:cs="等线"/>
        </w:rPr>
        <w:t>本次大赛分为初赛与决赛两个阶段。</w:t>
      </w:r>
    </w:p>
    <w:p>
      <w:pPr>
        <w:pStyle w:val="17"/>
        <w:spacing w:line="480" w:lineRule="auto"/>
        <w:ind w:firstLine="482"/>
        <w:rPr>
          <w:rStyle w:val="13"/>
        </w:rPr>
      </w:pPr>
      <w:r>
        <w:rPr>
          <w:rStyle w:val="13"/>
          <w:rFonts w:hint="eastAsia"/>
        </w:rPr>
        <w:t>（一）大赛初赛阶段</w:t>
      </w:r>
    </w:p>
    <w:p>
      <w:pPr>
        <w:pStyle w:val="17"/>
        <w:spacing w:line="480" w:lineRule="auto"/>
        <w:ind w:firstLine="480"/>
        <w:rPr>
          <w:rFonts w:ascii="宋体" w:hAnsi="宋体" w:cs="等线"/>
        </w:rPr>
      </w:pPr>
      <w:r>
        <w:rPr>
          <w:rFonts w:hint="eastAsia" w:ascii="宋体" w:hAnsi="宋体" w:cs="等线"/>
        </w:rPr>
        <w:t>大赛初赛阶段采取自选案例分析模式。</w:t>
      </w:r>
    </w:p>
    <w:p>
      <w:pPr>
        <w:pStyle w:val="17"/>
        <w:spacing w:line="480" w:lineRule="auto"/>
        <w:ind w:firstLine="480"/>
        <w:rPr>
          <w:rFonts w:ascii="宋体" w:hAnsi="宋体" w:cs="等线"/>
        </w:rPr>
      </w:pPr>
      <w:r>
        <w:rPr>
          <w:rFonts w:hint="eastAsia" w:ascii="宋体" w:hAnsi="宋体" w:cs="等线"/>
        </w:rPr>
        <w:t>大赛提供案例涉及刑法、民法、刑事诉讼法、民事诉讼法和行政法五个方向，每个方向各5个案例。各参赛队伍从25个案例中自由选取一个案例进行分析，撰写案例分析报告。经组委会决定，基于具体比赛公平性和保密性的考虑，收取报名信息和收取案例信息的邮箱相互独立。请各参赛队伍将参赛报名表和报名汇总表于报名截止日期（2019年7月10日晚20：00时）前发送至大赛报名邮箱443725272@qq.com；将案例分析报告以电子邮件的形式于初赛投稿截止时间（2019年8月20日晚20：00时）前发送至大赛案例邮箱shuplyjsbgs@163.com。电子邮件标题设为“案例分析大赛+学校名称+团队名称”；案例分析报告文档统一命名为“案例方向（即X法）+团队名称+队长姓名及联系电话”。</w:t>
      </w:r>
    </w:p>
    <w:p>
      <w:pPr>
        <w:pStyle w:val="17"/>
        <w:spacing w:line="480" w:lineRule="auto"/>
        <w:ind w:firstLine="480"/>
        <w:rPr>
          <w:rFonts w:ascii="楷体" w:hAnsi="楷体" w:eastAsia="楷体" w:cs="等线"/>
        </w:rPr>
      </w:pPr>
      <w:r>
        <w:rPr>
          <w:rFonts w:hint="eastAsia" w:ascii="楷体" w:hAnsi="楷体" w:eastAsia="楷体" w:cs="等线"/>
        </w:rPr>
        <w:t>注：报名邮箱系统出现错误，致各参赛选手未及时收到回复，组委会已收到各参赛选手的信息，发送成为即为报名成功，不影响各参赛队伍参加后续大赛。</w:t>
      </w:r>
    </w:p>
    <w:p>
      <w:pPr>
        <w:pStyle w:val="17"/>
        <w:spacing w:line="480" w:lineRule="auto"/>
        <w:ind w:firstLine="480"/>
        <w:rPr>
          <w:rFonts w:ascii="宋体" w:hAnsi="宋体" w:cs="等线"/>
        </w:rPr>
      </w:pPr>
      <w:r>
        <w:rPr>
          <w:rFonts w:hint="eastAsia" w:ascii="宋体" w:hAnsi="宋体" w:cs="等线"/>
        </w:rPr>
        <w:t>初赛参赛作品一经发送不得更改，且参赛作品不得剽窃、抄袭他人作品。逾期未交（报名信息和参赛案例报告）者视为自动放弃参赛资格。</w:t>
      </w:r>
    </w:p>
    <w:p>
      <w:pPr>
        <w:pStyle w:val="17"/>
        <w:spacing w:line="480" w:lineRule="auto"/>
        <w:ind w:firstLine="480"/>
        <w:rPr>
          <w:rFonts w:ascii="宋体" w:hAnsi="宋体" w:cs="等线"/>
        </w:rPr>
      </w:pPr>
      <w:r>
        <w:rPr>
          <w:rFonts w:hint="eastAsia" w:ascii="宋体" w:hAnsi="宋体" w:cs="等线"/>
        </w:rPr>
        <w:t>初赛参赛作品收集完整之后将送至本次案例分析大赛专家评审组进行审阅、评定。大赛组委会拟于2019年9月30日之前完成各参赛队伍成绩统计及排名工作，并从中取前20名参赛队伍晋级决赛。初赛成绩将以电子邮件的形式通知各参赛队伍主要负责人，初赛结果则公布于“上海政法学院研究生处”官方网站及“上政研究生会（S</w:t>
      </w:r>
      <w:r>
        <w:rPr>
          <w:rFonts w:ascii="宋体" w:hAnsi="宋体" w:cs="等线"/>
        </w:rPr>
        <w:t>HUPLYJSH</w:t>
      </w:r>
      <w:r>
        <w:rPr>
          <w:rFonts w:hint="eastAsia" w:ascii="宋体" w:hAnsi="宋体" w:cs="等线"/>
        </w:rPr>
        <w:t>）”微信公众号。</w:t>
      </w:r>
    </w:p>
    <w:p>
      <w:pPr>
        <w:pStyle w:val="17"/>
        <w:spacing w:line="480" w:lineRule="auto"/>
        <w:ind w:firstLine="482"/>
        <w:rPr>
          <w:rStyle w:val="13"/>
        </w:rPr>
      </w:pPr>
      <w:r>
        <w:rPr>
          <w:rStyle w:val="13"/>
          <w:rFonts w:hint="eastAsia"/>
        </w:rPr>
        <w:t>（二）大赛决赛阶段</w:t>
      </w:r>
    </w:p>
    <w:p>
      <w:pPr>
        <w:pStyle w:val="17"/>
        <w:spacing w:line="480" w:lineRule="auto"/>
        <w:ind w:firstLine="480"/>
        <w:rPr>
          <w:rFonts w:ascii="宋体" w:hAnsi="宋体" w:cs="等线"/>
        </w:rPr>
      </w:pPr>
      <w:r>
        <w:rPr>
          <w:rFonts w:hint="eastAsia" w:ascii="宋体" w:hAnsi="宋体" w:cs="等线"/>
        </w:rPr>
        <w:t>大赛决赛阶段采用公共案例分析模式。</w:t>
      </w:r>
    </w:p>
    <w:p>
      <w:pPr>
        <w:pStyle w:val="17"/>
        <w:spacing w:line="480" w:lineRule="auto"/>
        <w:ind w:firstLine="480"/>
        <w:rPr>
          <w:rFonts w:ascii="宋体" w:hAnsi="宋体" w:cs="等线"/>
        </w:rPr>
      </w:pPr>
      <w:r>
        <w:rPr>
          <w:rFonts w:hint="eastAsia" w:ascii="宋体" w:hAnsi="宋体" w:cs="等线"/>
        </w:rPr>
        <w:t>各进入决赛的队伍需撰写公共案例分析报告，并以现场PPT演示及现场答辩的形式展示其案例分析内容。大赛组委会将于初赛结果揭晓后一周内，通知各队伍抽签决定各自的参赛案例（决赛阶段的案例见后续通知），并告知各队伍具体分析要求及案例分析报告的截稿日期。</w:t>
      </w:r>
    </w:p>
    <w:p>
      <w:pPr>
        <w:pStyle w:val="17"/>
        <w:spacing w:line="480" w:lineRule="auto"/>
        <w:ind w:firstLine="480"/>
        <w:rPr>
          <w:rFonts w:ascii="宋体" w:hAnsi="宋体" w:cs="等线"/>
        </w:rPr>
      </w:pPr>
      <w:r>
        <w:rPr>
          <w:rFonts w:hint="eastAsia" w:ascii="宋体" w:hAnsi="宋体" w:cs="等线"/>
        </w:rPr>
        <w:t>决赛现场设于上海政法学院，各进入决赛的队伍在现场按抽签顺序展示其公共案例分析，并接受专家评审团的现场提问，进行答辩，每队总时间控制在8-10分钟之内，要求准备充分、表达清晰、着装整齐。专家评审团根据各参赛队伍的成果质量和现场表现，为各参赛队伍现场评分，确定最终名次并颁发奖品。</w:t>
      </w:r>
    </w:p>
    <w:p>
      <w:pPr>
        <w:pStyle w:val="8"/>
        <w:ind w:firstLine="602"/>
      </w:pPr>
      <w:bookmarkStart w:id="11" w:name="_Toc11972422"/>
      <w:r>
        <w:rPr>
          <w:rFonts w:hint="eastAsia"/>
        </w:rPr>
        <w:t>第二节 参赛队伍</w:t>
      </w:r>
      <w:bookmarkEnd w:id="11"/>
    </w:p>
    <w:p>
      <w:pPr>
        <w:pStyle w:val="17"/>
        <w:spacing w:line="480" w:lineRule="auto"/>
        <w:ind w:firstLine="480"/>
        <w:rPr>
          <w:rFonts w:ascii="宋体" w:hAnsi="宋体" w:cs="等线"/>
        </w:rPr>
      </w:pPr>
      <w:r>
        <w:rPr>
          <w:rFonts w:hint="eastAsia" w:ascii="宋体" w:hAnsi="宋体" w:cs="等线"/>
        </w:rPr>
        <w:t>参赛队伍由全国各高校法学院在读研究生组成；采取自主报名方式。</w:t>
      </w:r>
    </w:p>
    <w:p>
      <w:pPr>
        <w:pStyle w:val="17"/>
        <w:spacing w:line="480" w:lineRule="auto"/>
        <w:ind w:firstLine="480"/>
        <w:rPr>
          <w:rFonts w:ascii="宋体" w:hAnsi="宋体" w:cs="等线"/>
        </w:rPr>
      </w:pPr>
      <w:r>
        <w:rPr>
          <w:rFonts w:hint="eastAsia" w:ascii="宋体" w:hAnsi="宋体" w:cs="等线"/>
        </w:rPr>
        <w:t>本届案例分析大赛各参赛队伍采用自由组队或单人独自成队的方式，每队1至</w:t>
      </w:r>
      <w:r>
        <w:rPr>
          <w:rFonts w:ascii="宋体" w:hAnsi="宋体" w:cs="等线"/>
        </w:rPr>
        <w:t>5</w:t>
      </w:r>
      <w:r>
        <w:rPr>
          <w:rFonts w:hint="eastAsia" w:ascii="宋体" w:hAnsi="宋体" w:cs="等线"/>
        </w:rPr>
        <w:t>人，指定一名队长。队长负责队内具体事务，包括上场人员的确认及队伍的联络工作等。</w:t>
      </w:r>
    </w:p>
    <w:p>
      <w:pPr>
        <w:pStyle w:val="2"/>
      </w:pPr>
      <w:r>
        <w:br w:type="page"/>
      </w:r>
      <w:bookmarkStart w:id="12" w:name="_Toc11972423"/>
      <w:r>
        <w:rPr>
          <w:rFonts w:hint="eastAsia"/>
        </w:rPr>
        <w:t>第四章 评判规则与评分细则</w:t>
      </w:r>
      <w:bookmarkEnd w:id="12"/>
    </w:p>
    <w:p>
      <w:pPr>
        <w:pStyle w:val="8"/>
        <w:ind w:firstLine="602"/>
      </w:pPr>
      <w:bookmarkStart w:id="13" w:name="_Toc11972424"/>
      <w:r>
        <w:rPr>
          <w:rFonts w:hint="eastAsia"/>
        </w:rPr>
        <w:t>第一节 评判规则</w:t>
      </w:r>
      <w:bookmarkEnd w:id="13"/>
    </w:p>
    <w:p>
      <w:pPr>
        <w:pStyle w:val="17"/>
        <w:spacing w:line="480" w:lineRule="auto"/>
        <w:ind w:firstLine="480"/>
        <w:rPr>
          <w:rFonts w:ascii="宋体" w:hAnsi="宋体" w:cs="等线"/>
        </w:rPr>
      </w:pPr>
      <w:r>
        <w:rPr>
          <w:rFonts w:hint="eastAsia" w:ascii="宋体" w:hAnsi="宋体" w:cs="等线"/>
        </w:rPr>
        <w:t>本次法律案例分析大赛评审过程遵循公正、公平、公开的基本原则，综合考量各参赛队伍发现问题、分析问题以及运用法律解决问题的能力，以及在展示过程中的表现出的团队协作能力、创新能力、反应能力等。</w:t>
      </w:r>
    </w:p>
    <w:p>
      <w:pPr>
        <w:pStyle w:val="17"/>
        <w:spacing w:line="480" w:lineRule="auto"/>
        <w:ind w:firstLine="480"/>
        <w:rPr>
          <w:rFonts w:ascii="宋体" w:hAnsi="宋体" w:cs="等线"/>
        </w:rPr>
      </w:pPr>
      <w:r>
        <w:rPr>
          <w:rFonts w:hint="eastAsia" w:ascii="宋体" w:hAnsi="宋体" w:cs="等线"/>
        </w:rPr>
        <w:t>参赛队伍的决赛最终得分以专家评审团的加权总分计算。</w:t>
      </w:r>
    </w:p>
    <w:p>
      <w:pPr>
        <w:pStyle w:val="17"/>
        <w:spacing w:line="480" w:lineRule="auto"/>
        <w:ind w:firstLine="480"/>
        <w:rPr>
          <w:rFonts w:ascii="宋体" w:hAnsi="宋体" w:cs="等线"/>
        </w:rPr>
      </w:pPr>
      <w:r>
        <w:rPr>
          <w:rFonts w:hint="eastAsia" w:ascii="宋体" w:hAnsi="宋体" w:cs="等线"/>
        </w:rPr>
        <w:t>大赛只向专家评审团提供参赛队伍名称，不向其披露参赛队伍所属学校。</w:t>
      </w:r>
    </w:p>
    <w:p>
      <w:pPr>
        <w:pStyle w:val="8"/>
        <w:ind w:firstLine="602"/>
      </w:pPr>
      <w:bookmarkStart w:id="14" w:name="_Toc11972425"/>
      <w:r>
        <w:rPr>
          <w:rFonts w:hint="eastAsia"/>
        </w:rPr>
        <w:t>第二节 初赛阶段评分细则</w:t>
      </w:r>
      <w:bookmarkEnd w:id="14"/>
    </w:p>
    <w:p>
      <w:pPr>
        <w:pStyle w:val="17"/>
        <w:spacing w:line="480" w:lineRule="auto"/>
        <w:ind w:firstLine="480"/>
        <w:rPr>
          <w:rFonts w:ascii="宋体" w:hAnsi="宋体" w:cs="等线"/>
        </w:rPr>
      </w:pPr>
      <w:r>
        <w:rPr>
          <w:rFonts w:hint="eastAsia" w:ascii="宋体" w:hAnsi="宋体" w:cs="等线"/>
        </w:rPr>
        <w:t>所有的案例分析报告将由大赛组委会隐去学校，姓名等信息，进行编号后交由案例分析大赛专家评审团进行评审。评审主要从以下几个方面考察：</w:t>
      </w:r>
    </w:p>
    <w:p>
      <w:pPr>
        <w:pStyle w:val="17"/>
        <w:spacing w:line="480" w:lineRule="auto"/>
        <w:ind w:firstLine="480"/>
        <w:rPr>
          <w:rFonts w:ascii="宋体" w:hAnsi="宋体" w:cs="等线"/>
        </w:rPr>
      </w:pPr>
      <w:r>
        <w:rPr>
          <w:rFonts w:hint="eastAsia" w:ascii="宋体" w:hAnsi="宋体" w:cs="等线"/>
        </w:rPr>
        <w:t>报告格式：严格按照组委会要求，未违法保密纪律；</w:t>
      </w:r>
    </w:p>
    <w:p>
      <w:pPr>
        <w:pStyle w:val="17"/>
        <w:spacing w:line="480" w:lineRule="auto"/>
        <w:ind w:firstLine="480"/>
        <w:rPr>
          <w:rFonts w:ascii="宋体" w:hAnsi="宋体" w:cs="等线"/>
        </w:rPr>
      </w:pPr>
      <w:r>
        <w:rPr>
          <w:rFonts w:hint="eastAsia" w:ascii="宋体" w:hAnsi="宋体" w:cs="等线"/>
        </w:rPr>
        <w:t>分析视角：选取合适的切入点，从独特的视角对案例提出合理的观点；</w:t>
      </w:r>
    </w:p>
    <w:p>
      <w:pPr>
        <w:pStyle w:val="17"/>
        <w:spacing w:line="480" w:lineRule="auto"/>
        <w:ind w:firstLine="480"/>
        <w:rPr>
          <w:rFonts w:ascii="宋体" w:hAnsi="宋体" w:cs="等线"/>
        </w:rPr>
      </w:pPr>
      <w:r>
        <w:rPr>
          <w:rFonts w:hint="eastAsia" w:ascii="宋体" w:hAnsi="宋体" w:cs="等线"/>
        </w:rPr>
        <w:t>分析框架：观点明确、思路清晰、层次分明、思维开阔、论证充分；</w:t>
      </w:r>
    </w:p>
    <w:p>
      <w:pPr>
        <w:pStyle w:val="17"/>
        <w:spacing w:line="480" w:lineRule="auto"/>
        <w:ind w:firstLine="480"/>
        <w:rPr>
          <w:rFonts w:ascii="宋体" w:hAnsi="宋体" w:cs="等线"/>
        </w:rPr>
      </w:pPr>
      <w:r>
        <w:rPr>
          <w:rFonts w:hint="eastAsia" w:ascii="宋体" w:hAnsi="宋体" w:cs="等线"/>
        </w:rPr>
        <w:t>分析深度：深层挖掘案例，分析符合逻辑；</w:t>
      </w:r>
    </w:p>
    <w:p>
      <w:pPr>
        <w:pStyle w:val="17"/>
        <w:spacing w:line="480" w:lineRule="auto"/>
        <w:ind w:firstLine="480"/>
        <w:rPr>
          <w:rFonts w:ascii="宋体" w:hAnsi="宋体" w:cs="等线"/>
        </w:rPr>
      </w:pPr>
      <w:r>
        <w:rPr>
          <w:rFonts w:hint="eastAsia" w:ascii="宋体" w:hAnsi="宋体" w:cs="等线"/>
        </w:rPr>
        <w:t>分析方法：运用合理、创新的分析方法展开分析；</w:t>
      </w:r>
    </w:p>
    <w:p>
      <w:pPr>
        <w:pStyle w:val="17"/>
        <w:spacing w:line="480" w:lineRule="auto"/>
        <w:ind w:firstLine="480"/>
        <w:rPr>
          <w:rFonts w:ascii="宋体" w:hAnsi="宋体" w:cs="等线"/>
        </w:rPr>
      </w:pPr>
      <w:r>
        <w:rPr>
          <w:rFonts w:hint="eastAsia" w:ascii="宋体" w:hAnsi="宋体" w:cs="等线"/>
        </w:rPr>
        <w:t>分析结论：案件分析的结果具有合理性、可行性和创新性。</w:t>
      </w:r>
    </w:p>
    <w:p>
      <w:pPr>
        <w:pStyle w:val="8"/>
        <w:ind w:firstLine="602"/>
      </w:pPr>
      <w:bookmarkStart w:id="15" w:name="_Toc11972426"/>
      <w:r>
        <w:rPr>
          <w:rFonts w:hint="eastAsia"/>
        </w:rPr>
        <w:t>第三节 决赛阶段评分细则</w:t>
      </w:r>
      <w:bookmarkEnd w:id="15"/>
    </w:p>
    <w:p>
      <w:pPr>
        <w:pStyle w:val="17"/>
        <w:spacing w:line="480" w:lineRule="auto"/>
        <w:ind w:firstLine="482"/>
        <w:rPr>
          <w:rStyle w:val="13"/>
        </w:rPr>
      </w:pPr>
      <w:r>
        <w:rPr>
          <w:rStyle w:val="13"/>
          <w:rFonts w:hint="eastAsia"/>
        </w:rPr>
        <w:t>（一）案例分析报告评分（30%）</w:t>
      </w:r>
    </w:p>
    <w:p>
      <w:pPr>
        <w:pStyle w:val="17"/>
        <w:spacing w:line="480" w:lineRule="auto"/>
        <w:ind w:firstLine="480"/>
        <w:rPr>
          <w:rFonts w:ascii="宋体" w:hAnsi="宋体" w:cs="等线"/>
        </w:rPr>
      </w:pPr>
      <w:r>
        <w:rPr>
          <w:rFonts w:hint="eastAsia" w:ascii="宋体" w:hAnsi="宋体" w:cs="等线"/>
        </w:rPr>
        <w:t>专家评审团做出审阅、评定，评审规则同初赛阶段评分细则。</w:t>
      </w:r>
    </w:p>
    <w:p>
      <w:pPr>
        <w:pStyle w:val="17"/>
        <w:spacing w:line="480" w:lineRule="auto"/>
        <w:ind w:firstLine="482"/>
        <w:rPr>
          <w:rStyle w:val="13"/>
        </w:rPr>
      </w:pPr>
      <w:r>
        <w:rPr>
          <w:rStyle w:val="13"/>
          <w:rFonts w:hint="eastAsia"/>
        </w:rPr>
        <w:t>（二）现场PPT等多媒体演示（30%）</w:t>
      </w:r>
    </w:p>
    <w:p>
      <w:pPr>
        <w:pStyle w:val="17"/>
        <w:spacing w:line="480" w:lineRule="auto"/>
        <w:ind w:firstLine="480"/>
        <w:rPr>
          <w:rFonts w:ascii="宋体" w:hAnsi="宋体" w:cs="等线"/>
        </w:rPr>
      </w:pPr>
      <w:r>
        <w:rPr>
          <w:rFonts w:hint="eastAsia" w:ascii="宋体" w:hAnsi="宋体" w:cs="等线"/>
        </w:rPr>
        <w:t>衣着统一，谈吐文雅，行为大方；</w:t>
      </w:r>
    </w:p>
    <w:p>
      <w:pPr>
        <w:pStyle w:val="17"/>
        <w:spacing w:line="480" w:lineRule="auto"/>
        <w:ind w:firstLine="480"/>
        <w:rPr>
          <w:rFonts w:ascii="宋体" w:hAnsi="宋体" w:cs="等线"/>
        </w:rPr>
      </w:pPr>
      <w:r>
        <w:rPr>
          <w:rFonts w:hint="eastAsia" w:ascii="宋体" w:hAnsi="宋体" w:cs="等线"/>
        </w:rPr>
        <w:t>论文结构严谨、形式新颖、分析透彻；</w:t>
      </w:r>
    </w:p>
    <w:p>
      <w:pPr>
        <w:pStyle w:val="17"/>
        <w:spacing w:line="480" w:lineRule="auto"/>
        <w:ind w:firstLine="480"/>
        <w:rPr>
          <w:rFonts w:ascii="宋体" w:hAnsi="宋体" w:cs="等线"/>
        </w:rPr>
      </w:pPr>
      <w:r>
        <w:rPr>
          <w:rFonts w:hint="eastAsia" w:ascii="宋体" w:hAnsi="宋体" w:cs="等线"/>
        </w:rPr>
        <w:t>主讲人思维严密、观点明确、条理清晰；</w:t>
      </w:r>
    </w:p>
    <w:p>
      <w:pPr>
        <w:pStyle w:val="17"/>
        <w:spacing w:line="480" w:lineRule="auto"/>
        <w:ind w:firstLine="480"/>
        <w:rPr>
          <w:rFonts w:ascii="宋体" w:hAnsi="宋体" w:cs="等线"/>
        </w:rPr>
      </w:pPr>
      <w:r>
        <w:rPr>
          <w:rFonts w:hint="eastAsia" w:ascii="宋体" w:hAnsi="宋体" w:cs="等线"/>
        </w:rPr>
        <w:t>团队协作分工情况；</w:t>
      </w:r>
    </w:p>
    <w:p>
      <w:pPr>
        <w:pStyle w:val="17"/>
        <w:spacing w:line="480" w:lineRule="auto"/>
        <w:ind w:firstLine="480"/>
        <w:rPr>
          <w:rFonts w:ascii="宋体" w:hAnsi="宋体" w:cs="等线"/>
        </w:rPr>
      </w:pPr>
      <w:r>
        <w:rPr>
          <w:rFonts w:hint="eastAsia" w:ascii="宋体" w:hAnsi="宋体" w:cs="等线"/>
        </w:rPr>
        <w:t>现场辩驳能力。</w:t>
      </w:r>
    </w:p>
    <w:p>
      <w:pPr>
        <w:pStyle w:val="17"/>
        <w:spacing w:line="480" w:lineRule="auto"/>
        <w:ind w:firstLine="482"/>
        <w:rPr>
          <w:rStyle w:val="13"/>
        </w:rPr>
      </w:pPr>
      <w:r>
        <w:rPr>
          <w:rStyle w:val="13"/>
          <w:rFonts w:hint="eastAsia"/>
        </w:rPr>
        <w:t>（三）现场答辩（30%）</w:t>
      </w:r>
    </w:p>
    <w:p>
      <w:pPr>
        <w:pStyle w:val="17"/>
        <w:spacing w:line="480" w:lineRule="auto"/>
        <w:ind w:firstLine="480"/>
        <w:rPr>
          <w:rFonts w:ascii="宋体" w:hAnsi="宋体" w:cs="等线"/>
        </w:rPr>
      </w:pPr>
      <w:r>
        <w:rPr>
          <w:rFonts w:hint="eastAsia" w:ascii="宋体" w:hAnsi="宋体" w:cs="等线"/>
        </w:rPr>
        <w:t>反应灵敏、言简意赅、回答准确深刻；</w:t>
      </w:r>
    </w:p>
    <w:p>
      <w:pPr>
        <w:pStyle w:val="17"/>
        <w:spacing w:line="480" w:lineRule="auto"/>
        <w:ind w:firstLine="480"/>
        <w:rPr>
          <w:rFonts w:ascii="宋体" w:hAnsi="宋体" w:cs="等线"/>
        </w:rPr>
      </w:pPr>
      <w:r>
        <w:rPr>
          <w:rFonts w:hint="eastAsia" w:ascii="宋体" w:hAnsi="宋体" w:cs="等线"/>
        </w:rPr>
        <w:t>对评审团提出的问题回答准确、简炼；</w:t>
      </w:r>
    </w:p>
    <w:p>
      <w:pPr>
        <w:pStyle w:val="17"/>
        <w:spacing w:line="480" w:lineRule="auto"/>
        <w:ind w:firstLine="480"/>
        <w:rPr>
          <w:rFonts w:ascii="宋体" w:hAnsi="宋体" w:cs="等线"/>
        </w:rPr>
      </w:pPr>
      <w:r>
        <w:rPr>
          <w:rFonts w:hint="eastAsia" w:ascii="宋体" w:hAnsi="宋体" w:cs="等线"/>
        </w:rPr>
        <w:t>临场发挥沉着镇定，随机应变；</w:t>
      </w:r>
    </w:p>
    <w:p>
      <w:pPr>
        <w:pStyle w:val="17"/>
        <w:spacing w:line="480" w:lineRule="auto"/>
        <w:ind w:firstLine="480"/>
        <w:rPr>
          <w:rFonts w:ascii="宋体" w:hAnsi="宋体" w:cs="等线"/>
        </w:rPr>
      </w:pPr>
      <w:r>
        <w:rPr>
          <w:rFonts w:hint="eastAsia" w:ascii="宋体" w:hAnsi="宋体" w:cs="等线"/>
        </w:rPr>
        <w:t>团队组建合理性、成员配合默契度。</w:t>
      </w:r>
    </w:p>
    <w:p>
      <w:pPr>
        <w:pStyle w:val="17"/>
        <w:spacing w:line="480" w:lineRule="auto"/>
        <w:ind w:firstLine="482"/>
        <w:rPr>
          <w:rStyle w:val="13"/>
        </w:rPr>
      </w:pPr>
      <w:r>
        <w:rPr>
          <w:rStyle w:val="13"/>
          <w:rFonts w:hint="eastAsia"/>
        </w:rPr>
        <w:t>（四）观众提问（10%）</w:t>
      </w:r>
    </w:p>
    <w:p>
      <w:pPr>
        <w:pStyle w:val="17"/>
        <w:spacing w:line="480" w:lineRule="auto"/>
        <w:ind w:firstLine="480"/>
        <w:rPr>
          <w:rFonts w:ascii="宋体" w:hAnsi="宋体" w:cs="等线"/>
        </w:rPr>
      </w:pPr>
      <w:r>
        <w:rPr>
          <w:rFonts w:hint="eastAsia" w:ascii="宋体" w:hAnsi="宋体" w:cs="等线"/>
        </w:rPr>
        <w:t>对观众及其他参赛队伍的提问解答流畅，思维清晰；</w:t>
      </w:r>
    </w:p>
    <w:p>
      <w:pPr>
        <w:pStyle w:val="17"/>
        <w:spacing w:line="480" w:lineRule="auto"/>
        <w:ind w:firstLine="480"/>
        <w:rPr>
          <w:rFonts w:ascii="宋体" w:hAnsi="宋体" w:cs="等线"/>
        </w:rPr>
      </w:pPr>
      <w:r>
        <w:rPr>
          <w:rFonts w:hint="eastAsia" w:ascii="宋体" w:hAnsi="宋体" w:cs="等线"/>
        </w:rPr>
        <w:t>不得采用攻击性的语言针对观众或其他参赛者。</w:t>
      </w:r>
    </w:p>
    <w:p>
      <w:pPr>
        <w:pStyle w:val="2"/>
      </w:pPr>
      <w:r>
        <w:br w:type="page"/>
      </w:r>
      <w:bookmarkStart w:id="16" w:name="_Toc11972427"/>
      <w:r>
        <w:rPr>
          <w:rFonts w:hint="eastAsia"/>
        </w:rPr>
        <w:t>第五章 附则</w:t>
      </w:r>
      <w:bookmarkEnd w:id="16"/>
    </w:p>
    <w:p>
      <w:pPr>
        <w:pStyle w:val="8"/>
        <w:ind w:firstLine="602"/>
      </w:pPr>
      <w:bookmarkStart w:id="17" w:name="_Toc11972428"/>
      <w:r>
        <w:rPr>
          <w:rFonts w:hint="eastAsia"/>
        </w:rPr>
        <w:t>第一节 纪律</w:t>
      </w:r>
      <w:bookmarkEnd w:id="17"/>
    </w:p>
    <w:p>
      <w:pPr>
        <w:pStyle w:val="17"/>
        <w:spacing w:line="480" w:lineRule="auto"/>
        <w:ind w:firstLine="480"/>
        <w:rPr>
          <w:rFonts w:ascii="宋体" w:hAnsi="宋体" w:cs="等线"/>
        </w:rPr>
      </w:pPr>
      <w:r>
        <w:rPr>
          <w:rFonts w:hint="eastAsia" w:ascii="宋体" w:hAnsi="宋体" w:cs="等线"/>
        </w:rPr>
        <w:t>各参赛队伍按照章程规定的时间和方式参与大赛，若参赛队伍违反本章程的（包括但不限于逾期提交报名信息及案例分析报告），组委会将直接取消参赛资格。</w:t>
      </w:r>
    </w:p>
    <w:p>
      <w:pPr>
        <w:pStyle w:val="17"/>
        <w:spacing w:line="480" w:lineRule="auto"/>
        <w:ind w:firstLine="480"/>
        <w:rPr>
          <w:rFonts w:ascii="宋体" w:hAnsi="宋体" w:cs="等线"/>
        </w:rPr>
      </w:pPr>
      <w:r>
        <w:rPr>
          <w:rFonts w:hint="eastAsia" w:ascii="宋体" w:hAnsi="宋体" w:cs="等线"/>
        </w:rPr>
        <w:t>队伍名称及案例分析报告严禁体现所属高校名称或简称，如涉嫌透露所属学校信息组委会有权酌情扣分。</w:t>
      </w:r>
    </w:p>
    <w:p>
      <w:pPr>
        <w:pStyle w:val="8"/>
        <w:ind w:firstLine="602"/>
      </w:pPr>
      <w:bookmarkStart w:id="18" w:name="_Toc11972429"/>
      <w:r>
        <w:rPr>
          <w:rFonts w:hint="eastAsia"/>
        </w:rPr>
        <w:t>第二节 奖项设置</w:t>
      </w:r>
      <w:bookmarkEnd w:id="18"/>
    </w:p>
    <w:p>
      <w:pPr>
        <w:pStyle w:val="17"/>
        <w:spacing w:line="480" w:lineRule="auto"/>
        <w:ind w:firstLine="480"/>
        <w:rPr>
          <w:rFonts w:ascii="宋体" w:hAnsi="宋体" w:cs="等线"/>
        </w:rPr>
      </w:pPr>
      <w:r>
        <w:rPr>
          <w:rFonts w:hint="eastAsia" w:ascii="宋体" w:hAnsi="宋体" w:cs="等线"/>
        </w:rPr>
        <w:t>本次案例分析大赛初赛阶段预收录案例分析报告100篇，大赛组委会将从中择优收录至《上政法律评论》。</w:t>
      </w:r>
    </w:p>
    <w:p>
      <w:pPr>
        <w:pStyle w:val="17"/>
        <w:spacing w:line="480" w:lineRule="auto"/>
        <w:ind w:firstLine="480"/>
        <w:rPr>
          <w:rFonts w:ascii="宋体" w:hAnsi="宋体" w:cs="等线"/>
        </w:rPr>
      </w:pPr>
      <w:r>
        <w:rPr>
          <w:rFonts w:hint="eastAsia" w:ascii="宋体" w:hAnsi="宋体" w:cs="等线"/>
        </w:rPr>
        <w:t>决赛将角逐出一等奖1名、二等奖2名、三等奖3名和优秀奖5名，以及最佳个人风采奖1名。</w:t>
      </w:r>
    </w:p>
    <w:p>
      <w:pPr>
        <w:pStyle w:val="17"/>
        <w:spacing w:line="480" w:lineRule="auto"/>
        <w:ind w:firstLine="480"/>
        <w:rPr>
          <w:rFonts w:ascii="宋体" w:hAnsi="宋体" w:cs="等线"/>
        </w:rPr>
      </w:pPr>
      <w:r>
        <w:rPr>
          <w:rFonts w:hint="eastAsia" w:ascii="宋体" w:hAnsi="宋体" w:cs="等线"/>
        </w:rPr>
        <w:t>证书及奖品将于现场发放。</w:t>
      </w:r>
    </w:p>
    <w:p>
      <w:pPr>
        <w:pStyle w:val="8"/>
        <w:ind w:firstLine="602"/>
      </w:pPr>
      <w:bookmarkStart w:id="19" w:name="_Toc11972430"/>
      <w:r>
        <w:rPr>
          <w:rFonts w:hint="eastAsia"/>
        </w:rPr>
        <w:t>第三节 案例分析报告格式</w:t>
      </w:r>
      <w:bookmarkEnd w:id="19"/>
    </w:p>
    <w:p>
      <w:pPr>
        <w:pStyle w:val="17"/>
        <w:spacing w:line="480" w:lineRule="auto"/>
        <w:ind w:firstLine="480" w:firstLineChars="0"/>
        <w:rPr>
          <w:rFonts w:ascii="宋体" w:hAnsi="宋体" w:cs="等线"/>
        </w:rPr>
      </w:pPr>
      <w:r>
        <w:rPr>
          <w:rFonts w:hint="eastAsia" w:ascii="宋体" w:hAnsi="宋体" w:cs="等线"/>
        </w:rPr>
        <w:t>电子案例分析报告标题一律采用：</w:t>
      </w:r>
      <w:r>
        <w:rPr>
          <w:rFonts w:ascii="宋体" w:hAnsi="宋体" w:cs="等线"/>
        </w:rPr>
        <w:t>XX</w:t>
      </w:r>
      <w:r>
        <w:rPr>
          <w:rFonts w:hint="eastAsia" w:ascii="宋体" w:hAnsi="宋体" w:cs="等线"/>
        </w:rPr>
        <w:t>法（行政法、民法、刑诉法、民诉法和刑法）·案例X【队伍名称】，如“刑诉法·案例三【甲乙丙丁队】”。标题下保留组委会公布的案例序号、内容及问题，重新起页撰写案例分析报告。标题应居中、加粗、字号为黑体三号。案例序号为宋体、小三、居中、加粗。正文字体为宋体小四，全文1.5倍行距。页码自动生成，页码字体为宋体五号，右对齐。引用文献用脚注，脚注格式参见《上政法律评论》脚注格式，详见“上政研究生会”微信公众号。电子案例分析报告格式统一保存为“.</w:t>
      </w:r>
      <w:r>
        <w:rPr>
          <w:rFonts w:ascii="宋体" w:hAnsi="宋体" w:cs="等线"/>
        </w:rPr>
        <w:t>docx”</w:t>
      </w:r>
      <w:r>
        <w:rPr>
          <w:rFonts w:hint="eastAsia" w:ascii="宋体" w:hAnsi="宋体" w:cs="等线"/>
        </w:rPr>
        <w:t>。</w:t>
      </w:r>
    </w:p>
    <w:p>
      <w:pPr>
        <w:pStyle w:val="17"/>
        <w:spacing w:line="480" w:lineRule="auto"/>
        <w:ind w:firstLine="480" w:firstLineChars="0"/>
        <w:rPr>
          <w:rFonts w:ascii="宋体" w:hAnsi="宋体" w:cs="等线"/>
        </w:rPr>
      </w:pPr>
      <w:r>
        <w:rPr>
          <w:rFonts w:hint="eastAsia" w:ascii="宋体" w:hAnsi="宋体" w:cs="等线"/>
        </w:rPr>
        <w:t>电子案例分析报告中不得出现队员名称、学校名称以及任何泄露参赛队伍信息等违法大赛纪律等标志。</w:t>
      </w:r>
    </w:p>
    <w:p>
      <w:pPr>
        <w:pStyle w:val="17"/>
        <w:spacing w:line="480" w:lineRule="auto"/>
        <w:ind w:firstLine="480" w:firstLineChars="0"/>
        <w:rPr>
          <w:rFonts w:ascii="楷体" w:hAnsi="楷体" w:eastAsia="楷体" w:cs="等线"/>
        </w:rPr>
      </w:pPr>
      <w:r>
        <w:rPr>
          <w:rFonts w:hint="eastAsia" w:ascii="楷体" w:hAnsi="楷体" w:eastAsia="楷体" w:cs="等线"/>
        </w:rPr>
        <w:t>注：报告格式为评分考虑因素。</w:t>
      </w:r>
    </w:p>
    <w:p>
      <w:pPr>
        <w:pStyle w:val="8"/>
        <w:ind w:firstLine="602"/>
      </w:pPr>
      <w:bookmarkStart w:id="20" w:name="_Toc11972431"/>
      <w:r>
        <w:rPr>
          <w:rFonts w:hint="eastAsia"/>
        </w:rPr>
        <w:t>第四节 解释权及未尽事宜</w:t>
      </w:r>
      <w:bookmarkEnd w:id="20"/>
    </w:p>
    <w:p>
      <w:pPr>
        <w:pStyle w:val="17"/>
        <w:spacing w:line="480" w:lineRule="auto"/>
        <w:ind w:firstLine="480"/>
        <w:rPr>
          <w:rFonts w:ascii="宋体" w:hAnsi="宋体" w:cs="等线"/>
        </w:rPr>
      </w:pPr>
      <w:r>
        <w:rPr>
          <w:rFonts w:hint="eastAsia" w:ascii="宋体" w:hAnsi="宋体" w:cs="等线"/>
        </w:rPr>
        <w:t>本章程的未尽事宜由组委会依据本章程原则精神全权处理。</w:t>
      </w:r>
    </w:p>
    <w:p>
      <w:pPr>
        <w:pStyle w:val="17"/>
        <w:spacing w:line="480" w:lineRule="auto"/>
        <w:ind w:firstLine="480"/>
        <w:rPr>
          <w:rFonts w:ascii="宋体" w:hAnsi="宋体" w:cs="等线"/>
        </w:rPr>
      </w:pPr>
    </w:p>
    <w:p>
      <w:pPr>
        <w:pStyle w:val="17"/>
        <w:spacing w:line="480" w:lineRule="auto"/>
        <w:ind w:firstLine="480"/>
        <w:rPr>
          <w:rFonts w:ascii="宋体" w:hAnsi="宋体" w:cs="等线"/>
        </w:rPr>
      </w:pPr>
    </w:p>
    <w:p>
      <w:pPr>
        <w:pStyle w:val="17"/>
        <w:spacing w:line="480" w:lineRule="auto"/>
        <w:ind w:firstLine="480"/>
        <w:rPr>
          <w:rFonts w:ascii="宋体" w:hAnsi="宋体" w:cs="等线"/>
        </w:rPr>
      </w:pPr>
    </w:p>
    <w:p>
      <w:pPr>
        <w:pStyle w:val="17"/>
        <w:spacing w:line="480" w:lineRule="auto"/>
        <w:ind w:firstLine="480"/>
        <w:rPr>
          <w:rFonts w:ascii="宋体" w:hAnsi="宋体" w:cs="等线"/>
        </w:rPr>
      </w:pPr>
    </w:p>
    <w:p>
      <w:pPr>
        <w:pStyle w:val="17"/>
        <w:spacing w:line="480" w:lineRule="auto"/>
        <w:ind w:firstLine="480"/>
        <w:rPr>
          <w:rFonts w:ascii="宋体" w:hAnsi="宋体" w:cs="等线"/>
        </w:rPr>
      </w:pPr>
    </w:p>
    <w:p>
      <w:pPr>
        <w:pStyle w:val="17"/>
        <w:spacing w:line="480" w:lineRule="auto"/>
        <w:ind w:firstLine="480"/>
        <w:rPr>
          <w:rFonts w:ascii="宋体" w:hAnsi="宋体" w:cs="等线"/>
        </w:rPr>
      </w:pPr>
    </w:p>
    <w:p>
      <w:pPr>
        <w:pStyle w:val="17"/>
        <w:spacing w:line="480" w:lineRule="auto"/>
        <w:ind w:firstLine="480"/>
        <w:rPr>
          <w:rFonts w:ascii="宋体" w:hAnsi="宋体" w:cs="等线"/>
        </w:rPr>
      </w:pPr>
    </w:p>
    <w:p>
      <w:pPr>
        <w:pStyle w:val="17"/>
        <w:spacing w:line="480" w:lineRule="auto"/>
        <w:ind w:firstLine="480"/>
        <w:rPr>
          <w:rFonts w:ascii="宋体" w:hAnsi="宋体" w:cs="等线"/>
        </w:rPr>
      </w:pPr>
    </w:p>
    <w:p>
      <w:pPr>
        <w:pStyle w:val="17"/>
        <w:spacing w:line="480" w:lineRule="auto"/>
        <w:ind w:firstLine="480"/>
        <w:jc w:val="right"/>
        <w:rPr>
          <w:rFonts w:ascii="宋体" w:hAnsi="宋体" w:cs="等线"/>
        </w:rPr>
      </w:pPr>
      <w:r>
        <w:rPr>
          <w:rFonts w:hint="eastAsia" w:ascii="宋体" w:hAnsi="宋体" w:cs="等线"/>
        </w:rPr>
        <w:t>上海市学位委员会办公室</w:t>
      </w:r>
    </w:p>
    <w:p>
      <w:pPr>
        <w:pStyle w:val="17"/>
        <w:spacing w:line="480" w:lineRule="auto"/>
        <w:ind w:firstLine="480"/>
        <w:jc w:val="right"/>
        <w:rPr>
          <w:rFonts w:ascii="宋体" w:hAnsi="宋体" w:cs="等线"/>
        </w:rPr>
      </w:pPr>
      <w:r>
        <w:rPr>
          <w:rFonts w:hint="eastAsia" w:ascii="宋体" w:hAnsi="宋体" w:cs="等线"/>
        </w:rPr>
        <w:t>上海政法学院</w:t>
      </w:r>
    </w:p>
    <w:p>
      <w:pPr>
        <w:pStyle w:val="17"/>
        <w:spacing w:line="480" w:lineRule="auto"/>
        <w:ind w:firstLine="480"/>
        <w:jc w:val="right"/>
        <w:rPr>
          <w:rFonts w:ascii="宋体" w:hAnsi="宋体" w:cs="等线"/>
        </w:rPr>
      </w:pPr>
      <w:r>
        <w:rPr>
          <w:rFonts w:hint="eastAsia" w:ascii="宋体" w:hAnsi="宋体" w:cs="等线"/>
        </w:rPr>
        <w:t>上海政法学院研究生会暨学生会研究生工作委员会</w:t>
      </w:r>
    </w:p>
    <w:p>
      <w:pPr>
        <w:pStyle w:val="17"/>
        <w:spacing w:line="480" w:lineRule="auto"/>
        <w:ind w:firstLine="480"/>
        <w:jc w:val="right"/>
        <w:rPr>
          <w:rFonts w:ascii="宋体" w:hAnsi="宋体" w:cs="等线"/>
        </w:rPr>
      </w:pPr>
      <w:r>
        <w:rPr>
          <w:rFonts w:hint="eastAsia" w:ascii="宋体" w:hAnsi="宋体" w:cs="等线"/>
        </w:rPr>
        <w:t>2019年6月</w:t>
      </w:r>
    </w:p>
    <w:p>
      <w:pPr>
        <w:pStyle w:val="17"/>
        <w:spacing w:line="480" w:lineRule="auto"/>
        <w:ind w:firstLine="0" w:firstLineChars="0"/>
        <w:rPr>
          <w:rStyle w:val="13"/>
        </w:rPr>
      </w:pPr>
      <w:r>
        <w:rPr>
          <w:rFonts w:ascii="宋体" w:hAnsi="宋体" w:cs="等线"/>
        </w:rPr>
        <w:br w:type="page"/>
      </w:r>
      <w:r>
        <w:rPr>
          <w:rStyle w:val="13"/>
        </w:rPr>
        <w:t>附件：电子</w:t>
      </w:r>
      <w:r>
        <w:rPr>
          <w:rStyle w:val="13"/>
          <w:rFonts w:hint="eastAsia"/>
        </w:rPr>
        <w:t>案例分析报告格式参考</w:t>
      </w:r>
    </w:p>
    <w:p>
      <w:pPr>
        <w:adjustRightInd w:val="0"/>
        <w:snapToGrid w:val="0"/>
        <w:spacing w:line="360" w:lineRule="auto"/>
        <w:jc w:val="center"/>
        <w:rPr>
          <w:rFonts w:ascii="仿宋" w:hAnsi="仿宋" w:eastAsia="仿宋"/>
          <w:sz w:val="30"/>
          <w:szCs w:val="30"/>
        </w:rPr>
      </w:pPr>
      <w:r>
        <w:rPr>
          <w:rFonts w:hint="eastAsia" w:ascii="黑体" w:hAnsi="黑体" w:eastAsia="黑体"/>
          <w:b/>
          <w:bCs/>
          <w:sz w:val="32"/>
          <w:szCs w:val="32"/>
        </w:rPr>
        <w:t>民诉法·案例一【赤橙黄绿队】</w:t>
      </w:r>
    </w:p>
    <w:p>
      <w:pPr>
        <w:adjustRightInd w:val="0"/>
        <w:snapToGrid w:val="0"/>
        <w:spacing w:line="360" w:lineRule="auto"/>
        <w:jc w:val="center"/>
        <w:rPr>
          <w:rFonts w:ascii="宋体" w:hAnsi="宋体"/>
          <w:b/>
          <w:sz w:val="30"/>
          <w:szCs w:val="30"/>
        </w:rPr>
      </w:pPr>
      <w:r>
        <w:rPr>
          <w:rFonts w:hint="eastAsia" w:ascii="宋体" w:hAnsi="宋体"/>
          <w:b/>
          <w:sz w:val="30"/>
          <w:szCs w:val="30"/>
        </w:rPr>
        <w:t>案例一</w:t>
      </w:r>
    </w:p>
    <w:p>
      <w:pPr>
        <w:spacing w:line="360" w:lineRule="auto"/>
        <w:ind w:firstLine="420"/>
        <w:rPr>
          <w:rFonts w:ascii="宋体" w:hAnsi="宋体"/>
          <w:sz w:val="24"/>
        </w:rPr>
      </w:pPr>
      <w:r>
        <w:rPr>
          <w:rFonts w:hint="eastAsia" w:ascii="宋体" w:hAnsi="宋体"/>
          <w:sz w:val="24"/>
        </w:rPr>
        <w:t>北京市海淀区某甲于</w:t>
      </w:r>
      <w:r>
        <w:rPr>
          <w:rFonts w:ascii="宋体" w:hAnsi="宋体"/>
          <w:sz w:val="24"/>
        </w:rPr>
        <w:t>2018</w:t>
      </w:r>
      <w:r>
        <w:rPr>
          <w:rFonts w:hint="eastAsia" w:ascii="宋体" w:hAnsi="宋体"/>
          <w:sz w:val="24"/>
        </w:rPr>
        <w:t>年</w:t>
      </w:r>
      <w:r>
        <w:rPr>
          <w:rFonts w:ascii="宋体" w:hAnsi="宋体"/>
          <w:sz w:val="24"/>
        </w:rPr>
        <w:t>2</w:t>
      </w:r>
      <w:r>
        <w:rPr>
          <w:rFonts w:hint="eastAsia" w:ascii="宋体" w:hAnsi="宋体"/>
          <w:sz w:val="24"/>
        </w:rPr>
        <w:t>月</w:t>
      </w:r>
      <w:r>
        <w:rPr>
          <w:rFonts w:ascii="宋体" w:hAnsi="宋体"/>
          <w:sz w:val="24"/>
        </w:rPr>
        <w:t>25</w:t>
      </w:r>
      <w:r>
        <w:rPr>
          <w:rFonts w:hint="eastAsia" w:ascii="宋体" w:hAnsi="宋体"/>
          <w:sz w:val="24"/>
        </w:rPr>
        <w:t>日在某乙公司网站上预订了某丙酒店。后来甲与乙之间围绕订单取消及其罚金等问题发生争议，甲将乙诉至北京市海淀区人民法院。被告乙公司在提交答辩状期间，对管辖权提出异议申请，认为乙公司的住所为上海市闵行区沪闵路</w:t>
      </w:r>
      <w:r>
        <w:rPr>
          <w:rFonts w:ascii="宋体" w:hAnsi="宋体"/>
          <w:sz w:val="24"/>
        </w:rPr>
        <w:t>11</w:t>
      </w:r>
      <w:r>
        <w:rPr>
          <w:rFonts w:hint="eastAsia" w:ascii="宋体" w:hAnsi="宋体"/>
          <w:sz w:val="24"/>
        </w:rPr>
        <w:t>号，且原告某甲通过网络方式提供预订服务，申请人提供的网络服务器送货地址、安装单等证据均证明合同履行地为上海市闵行区。此外，在乙公司网站用户注册会员时需要勾选确认的《乙公司某某网服务协议》第</w:t>
      </w:r>
      <w:r>
        <w:rPr>
          <w:rFonts w:ascii="宋体" w:hAnsi="宋体"/>
          <w:sz w:val="24"/>
        </w:rPr>
        <w:t>12</w:t>
      </w:r>
      <w:r>
        <w:rPr>
          <w:rFonts w:hint="eastAsia" w:ascii="宋体" w:hAnsi="宋体"/>
          <w:sz w:val="24"/>
        </w:rPr>
        <w:t>条加粗显示：</w:t>
      </w:r>
      <w:r>
        <w:rPr>
          <w:rFonts w:ascii="宋体" w:hAnsi="宋体"/>
          <w:sz w:val="24"/>
        </w:rPr>
        <w:t>“</w:t>
      </w:r>
      <w:r>
        <w:rPr>
          <w:rFonts w:hint="eastAsia" w:ascii="宋体" w:hAnsi="宋体"/>
          <w:sz w:val="24"/>
        </w:rPr>
        <w:t>因用户通过乙公司某某网预订任何产品而导致的争议，将同意接受上海市闵行区人民法院的管辖。”乙公司某某网首页的服务说明中也对管辖有突出显示，第</w:t>
      </w:r>
      <w:r>
        <w:rPr>
          <w:rFonts w:ascii="宋体" w:hAnsi="宋体"/>
          <w:sz w:val="24"/>
        </w:rPr>
        <w:t>10</w:t>
      </w:r>
      <w:r>
        <w:rPr>
          <w:rFonts w:hint="eastAsia" w:ascii="宋体" w:hAnsi="宋体"/>
          <w:sz w:val="24"/>
        </w:rPr>
        <w:t>条规定：</w:t>
      </w:r>
      <w:r>
        <w:rPr>
          <w:rFonts w:ascii="宋体" w:hAnsi="宋体"/>
          <w:sz w:val="24"/>
        </w:rPr>
        <w:t>“</w:t>
      </w:r>
      <w:r>
        <w:rPr>
          <w:rFonts w:hint="eastAsia" w:ascii="宋体" w:hAnsi="宋体"/>
          <w:sz w:val="24"/>
        </w:rPr>
        <w:t>因用户通过乙公司某某网预订任何产品而导致的争议，将同意接受上海市闵行区人民法院的管辖。</w:t>
      </w:r>
      <w:r>
        <w:rPr>
          <w:rFonts w:ascii="宋体" w:hAnsi="宋体"/>
          <w:sz w:val="24"/>
        </w:rPr>
        <w:t>”</w:t>
      </w:r>
    </w:p>
    <w:p>
      <w:pPr>
        <w:spacing w:line="360" w:lineRule="auto"/>
        <w:ind w:firstLine="420"/>
        <w:rPr>
          <w:rFonts w:ascii="宋体" w:hAnsi="宋体"/>
          <w:sz w:val="24"/>
        </w:rPr>
      </w:pPr>
      <w:r>
        <w:rPr>
          <w:rFonts w:hint="eastAsia" w:ascii="宋体" w:hAnsi="宋体"/>
          <w:sz w:val="24"/>
        </w:rPr>
        <w:t>根据民事诉讼法规定：因合同纠纷提起的诉讼，由被告住所地或者合同履行地人民法院管辖。最高人民法院《关于适用民事诉讼法的解释》第</w:t>
      </w:r>
      <w:r>
        <w:rPr>
          <w:rFonts w:ascii="宋体" w:hAnsi="宋体"/>
          <w:sz w:val="24"/>
        </w:rPr>
        <w:t>18</w:t>
      </w:r>
      <w:r>
        <w:rPr>
          <w:rFonts w:hint="eastAsia" w:ascii="宋体" w:hAnsi="宋体"/>
          <w:sz w:val="24"/>
        </w:rPr>
        <w:t>条规定，合同约定履行地点的，以约定的履行地点为合同履行地。本案被告认为合同履行地无论实际还是约定的均在上海市闵行区人民法院，认为北京市海淀区法院无理由对此案件进行管辖，请海淀区法院依法裁定将此案移送有管辖权的人民法院即上海市闵行区人民法院审理。　</w:t>
      </w:r>
    </w:p>
    <w:p>
      <w:pPr>
        <w:spacing w:line="360" w:lineRule="auto"/>
        <w:ind w:firstLine="480" w:firstLineChars="200"/>
        <w:rPr>
          <w:rFonts w:ascii="宋体" w:hAnsi="宋体"/>
          <w:sz w:val="24"/>
        </w:rPr>
      </w:pPr>
      <w:r>
        <w:rPr>
          <w:rFonts w:hint="eastAsia" w:ascii="宋体" w:hAnsi="宋体"/>
          <w:sz w:val="24"/>
        </w:rPr>
        <w:t>请引用民诉法及其司法解释相关法条并附简明理由回答如下问题：</w:t>
      </w:r>
    </w:p>
    <w:p>
      <w:pPr>
        <w:spacing w:line="360" w:lineRule="auto"/>
        <w:ind w:firstLine="480" w:firstLineChars="200"/>
        <w:rPr>
          <w:rFonts w:ascii="宋体" w:hAnsi="宋体"/>
          <w:sz w:val="24"/>
        </w:rPr>
      </w:pPr>
      <w:r>
        <w:rPr>
          <w:rFonts w:hint="eastAsia" w:ascii="宋体" w:hAnsi="宋体"/>
          <w:sz w:val="24"/>
        </w:rPr>
        <w:t>1.北京市海淀区法院应该如何处理？</w:t>
      </w:r>
    </w:p>
    <w:p>
      <w:pPr>
        <w:spacing w:line="360" w:lineRule="auto"/>
        <w:ind w:firstLine="480" w:firstLineChars="200"/>
        <w:rPr>
          <w:rFonts w:ascii="宋体" w:hAnsi="宋体"/>
          <w:sz w:val="24"/>
        </w:rPr>
      </w:pPr>
      <w:r>
        <w:rPr>
          <w:rFonts w:hint="eastAsia" w:ascii="宋体" w:hAnsi="宋体"/>
          <w:sz w:val="24"/>
        </w:rPr>
        <w:t>2.如果海淀区法院裁定驳回移送管辖的申请并就本案作出判决时，当事人有何种救济途径？</w:t>
      </w:r>
    </w:p>
    <w:p>
      <w:pPr>
        <w:spacing w:line="360" w:lineRule="auto"/>
        <w:ind w:firstLine="480" w:firstLineChars="200"/>
        <w:jc w:val="center"/>
        <w:rPr>
          <w:rFonts w:ascii="宋体" w:hAnsi="宋体"/>
          <w:sz w:val="24"/>
        </w:rPr>
      </w:pPr>
      <w:r>
        <w:rPr>
          <w:rFonts w:ascii="宋体" w:hAnsi="宋体"/>
          <w:sz w:val="24"/>
        </w:rPr>
        <w:br w:type="page"/>
      </w:r>
      <w:r>
        <w:rPr>
          <w:rFonts w:hint="eastAsia" w:ascii="宋体" w:hAnsi="宋体"/>
          <w:sz w:val="24"/>
        </w:rPr>
        <w:t>（具体内容）北京市海淀区法院判决赤橙黄绿青蓝紫，X</w:t>
      </w:r>
      <w:r>
        <w:rPr>
          <w:rFonts w:ascii="宋体" w:hAnsi="宋体"/>
          <w:sz w:val="24"/>
        </w:rPr>
        <w:t>XX</w:t>
      </w:r>
      <w:r>
        <w:rPr>
          <w:rFonts w:hint="eastAsia" w:ascii="宋体" w:hAnsi="宋体"/>
          <w:sz w:val="24"/>
        </w:rPr>
        <w:t>（省略一万字）。</w:t>
      </w:r>
    </w:p>
    <w:sectPr>
      <w:headerReference r:id="rId5" w:type="first"/>
      <w:headerReference r:id="rId3" w:type="default"/>
      <w:footerReference r:id="rId6" w:type="default"/>
      <w:headerReference r:id="rId4" w:type="even"/>
      <w:footerReference r:id="rId7" w:type="even"/>
      <w:pgSz w:w="11906" w:h="16838"/>
      <w:pgMar w:top="1440" w:right="1800" w:bottom="1440" w:left="1800" w:header="850" w:footer="964"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7"/>
      </w:pBdr>
    </w:pPr>
    <w:r>
      <w:drawing>
        <wp:inline distT="0" distB="0" distL="114300" distR="114300">
          <wp:extent cx="1819275" cy="333375"/>
          <wp:effectExtent l="0" t="0" r="9525" b="9525"/>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
                  <a:stretch>
                    <a:fillRect/>
                  </a:stretch>
                </pic:blipFill>
                <pic:spPr>
                  <a:xfrm>
                    <a:off x="0" y="0"/>
                    <a:ext cx="1819275" cy="333375"/>
                  </a:xfrm>
                  <a:prstGeom prst="rect">
                    <a:avLst/>
                  </a:prstGeom>
                  <a:noFill/>
                  <a:ln>
                    <a:noFill/>
                  </a:ln>
                </pic:spPr>
              </pic:pic>
            </a:graphicData>
          </a:graphic>
        </wp:inline>
      </w:drawing>
    </w:r>
    <w:r>
      <w:drawing>
        <wp:anchor distT="0" distB="0" distL="114300" distR="114300" simplePos="0" relativeHeight="503315456" behindDoc="1" locked="0" layoutInCell="0" allowOverlap="1">
          <wp:simplePos x="0" y="0"/>
          <wp:positionH relativeFrom="margin">
            <wp:align>center</wp:align>
          </wp:positionH>
          <wp:positionV relativeFrom="margin">
            <wp:align>center</wp:align>
          </wp:positionV>
          <wp:extent cx="5271770" cy="5187315"/>
          <wp:effectExtent l="0" t="0" r="5080" b="13335"/>
          <wp:wrapNone/>
          <wp:docPr id="2" name="WordPictureWatermark3288315" descr="webwxgetmsg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288315" descr="webwxgetmsgimg[3]"/>
                  <pic:cNvPicPr>
                    <a:picLocks noChangeAspect="1"/>
                  </pic:cNvPicPr>
                </pic:nvPicPr>
                <pic:blipFill>
                  <a:blip r:embed="rId2">
                    <a:lum bright="70001" contrast="-70000"/>
                  </a:blip>
                  <a:stretch>
                    <a:fillRect/>
                  </a:stretch>
                </pic:blipFill>
                <pic:spPr>
                  <a:xfrm>
                    <a:off x="0" y="0"/>
                    <a:ext cx="5271770" cy="51873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9"/>
      </w:pBdr>
      <w:spacing w:line="336" w:lineRule="auto"/>
      <w:rPr>
        <w:rFonts w:ascii="楷体" w:hAnsi="楷体" w:eastAsia="楷体"/>
        <w:sz w:val="22"/>
        <w:szCs w:val="22"/>
      </w:rPr>
    </w:pPr>
    <w:r>
      <w:rPr>
        <w:rFonts w:hint="eastAsia" w:ascii="楷体" w:hAnsi="楷体" w:eastAsia="楷体"/>
        <w:sz w:val="28"/>
        <w:szCs w:val="28"/>
      </w:rPr>
      <w:t>2019年上海市研究生学术论坛——法律案例分析大赛</w:t>
    </w:r>
    <w:r>
      <w:rPr>
        <w:rFonts w:ascii="楷体" w:hAnsi="楷体" w:eastAsia="楷体"/>
      </w:rPr>
      <w:drawing>
        <wp:anchor distT="0" distB="0" distL="114300" distR="114300" simplePos="0" relativeHeight="503315456" behindDoc="1" locked="0" layoutInCell="0" allowOverlap="1">
          <wp:simplePos x="0" y="0"/>
          <wp:positionH relativeFrom="margin">
            <wp:align>center</wp:align>
          </wp:positionH>
          <wp:positionV relativeFrom="margin">
            <wp:align>center</wp:align>
          </wp:positionV>
          <wp:extent cx="5271770" cy="5187315"/>
          <wp:effectExtent l="0" t="0" r="5080" b="13335"/>
          <wp:wrapNone/>
          <wp:docPr id="1" name="WordPictureWatermark3288314" descr="webwxgetmsg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288314" descr="webwxgetmsgimg[3]"/>
                  <pic:cNvPicPr>
                    <a:picLocks noChangeAspect="1"/>
                  </pic:cNvPicPr>
                </pic:nvPicPr>
                <pic:blipFill>
                  <a:blip r:embed="rId1">
                    <a:lum bright="70001" contrast="-70000"/>
                  </a:blip>
                  <a:stretch>
                    <a:fillRect/>
                  </a:stretch>
                </pic:blipFill>
                <pic:spPr>
                  <a:xfrm>
                    <a:off x="0" y="0"/>
                    <a:ext cx="5271770" cy="518731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503315456" behindDoc="1" locked="0" layoutInCell="0" allowOverlap="1">
          <wp:simplePos x="0" y="0"/>
          <wp:positionH relativeFrom="margin">
            <wp:align>center</wp:align>
          </wp:positionH>
          <wp:positionV relativeFrom="margin">
            <wp:align>center</wp:align>
          </wp:positionV>
          <wp:extent cx="5271770" cy="5187315"/>
          <wp:effectExtent l="0" t="0" r="5080" b="13335"/>
          <wp:wrapNone/>
          <wp:docPr id="3" name="WordPictureWatermark3288313" descr="webwxgetmsg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288313" descr="webwxgetmsgimg[3]"/>
                  <pic:cNvPicPr>
                    <a:picLocks noChangeAspect="1"/>
                  </pic:cNvPicPr>
                </pic:nvPicPr>
                <pic:blipFill>
                  <a:blip r:embed="rId1">
                    <a:lum bright="70001" contrast="-70000"/>
                  </a:blip>
                  <a:stretch>
                    <a:fillRect/>
                  </a:stretch>
                </pic:blipFill>
                <pic:spPr>
                  <a:xfrm>
                    <a:off x="0" y="0"/>
                    <a:ext cx="5271770" cy="51873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00A6"/>
    <w:rsid w:val="000B6EE5"/>
    <w:rsid w:val="001539C5"/>
    <w:rsid w:val="00172A27"/>
    <w:rsid w:val="001A776A"/>
    <w:rsid w:val="001E3364"/>
    <w:rsid w:val="001E44B3"/>
    <w:rsid w:val="001F2596"/>
    <w:rsid w:val="00230E08"/>
    <w:rsid w:val="00290872"/>
    <w:rsid w:val="002B3C6C"/>
    <w:rsid w:val="003144C5"/>
    <w:rsid w:val="00343771"/>
    <w:rsid w:val="003507C0"/>
    <w:rsid w:val="003F7E50"/>
    <w:rsid w:val="00400CD1"/>
    <w:rsid w:val="00412082"/>
    <w:rsid w:val="005029C5"/>
    <w:rsid w:val="00567DE0"/>
    <w:rsid w:val="007018F5"/>
    <w:rsid w:val="00706882"/>
    <w:rsid w:val="00741212"/>
    <w:rsid w:val="00794C66"/>
    <w:rsid w:val="007C6505"/>
    <w:rsid w:val="00823BB8"/>
    <w:rsid w:val="008507DA"/>
    <w:rsid w:val="008A2D28"/>
    <w:rsid w:val="008A40C3"/>
    <w:rsid w:val="00917188"/>
    <w:rsid w:val="00936C7F"/>
    <w:rsid w:val="009537D4"/>
    <w:rsid w:val="009549A9"/>
    <w:rsid w:val="009F504F"/>
    <w:rsid w:val="00A4076B"/>
    <w:rsid w:val="00A66371"/>
    <w:rsid w:val="00A8317A"/>
    <w:rsid w:val="00AC48AB"/>
    <w:rsid w:val="00AF3E0C"/>
    <w:rsid w:val="00B550E6"/>
    <w:rsid w:val="00B9699D"/>
    <w:rsid w:val="00C02A9D"/>
    <w:rsid w:val="00C63206"/>
    <w:rsid w:val="00C709A6"/>
    <w:rsid w:val="00C713E2"/>
    <w:rsid w:val="00C8263B"/>
    <w:rsid w:val="00CD05F5"/>
    <w:rsid w:val="00CF447C"/>
    <w:rsid w:val="00D046AD"/>
    <w:rsid w:val="00D74CCF"/>
    <w:rsid w:val="00D97636"/>
    <w:rsid w:val="00DD56D0"/>
    <w:rsid w:val="00E14CF3"/>
    <w:rsid w:val="00E2369E"/>
    <w:rsid w:val="00F0018C"/>
    <w:rsid w:val="13926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jc w:val="center"/>
      <w:outlineLvl w:val="0"/>
    </w:pPr>
    <w:rPr>
      <w:b/>
      <w:bCs/>
      <w:kern w:val="44"/>
      <w:sz w:val="32"/>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uiPriority w:val="39"/>
    <w:pPr>
      <w:widowControl/>
      <w:spacing w:after="100" w:line="259" w:lineRule="auto"/>
      <w:ind w:left="440"/>
      <w:jc w:val="left"/>
    </w:pPr>
    <w:rPr>
      <w:rFonts w:ascii="等线" w:hAnsi="等线" w:eastAsia="等线"/>
      <w:kern w:val="0"/>
      <w:sz w:val="22"/>
      <w:szCs w:val="22"/>
    </w:rPr>
  </w:style>
  <w:style w:type="paragraph" w:styleId="4">
    <w:name w:val="Date"/>
    <w:basedOn w:val="1"/>
    <w:next w:val="1"/>
    <w:link w:val="18"/>
    <w:uiPriority w:val="0"/>
    <w:pPr>
      <w:ind w:left="100" w:leftChars="2500"/>
    </w:pPr>
  </w:style>
  <w:style w:type="paragraph" w:styleId="5">
    <w:name w:val="footer"/>
    <w:basedOn w:val="1"/>
    <w:link w:val="16"/>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pPr>
      <w:widowControl/>
      <w:spacing w:after="100" w:line="259" w:lineRule="auto"/>
      <w:jc w:val="left"/>
    </w:pPr>
    <w:rPr>
      <w:rFonts w:ascii="等线" w:hAnsi="等线" w:eastAsia="等线"/>
      <w:kern w:val="0"/>
      <w:sz w:val="22"/>
      <w:szCs w:val="22"/>
    </w:rPr>
  </w:style>
  <w:style w:type="paragraph" w:styleId="8">
    <w:name w:val="Subtitle"/>
    <w:basedOn w:val="1"/>
    <w:next w:val="1"/>
    <w:link w:val="20"/>
    <w:qFormat/>
    <w:uiPriority w:val="0"/>
    <w:pPr>
      <w:spacing w:before="240" w:after="60" w:line="312" w:lineRule="auto"/>
      <w:ind w:firstLine="200" w:firstLineChars="200"/>
      <w:jc w:val="left"/>
      <w:outlineLvl w:val="1"/>
    </w:pPr>
    <w:rPr>
      <w:rFonts w:ascii="等线 Light" w:hAnsi="等线 Light"/>
      <w:b/>
      <w:bCs/>
      <w:kern w:val="28"/>
      <w:sz w:val="30"/>
      <w:szCs w:val="32"/>
    </w:rPr>
  </w:style>
  <w:style w:type="paragraph" w:styleId="9">
    <w:name w:val="toc 2"/>
    <w:basedOn w:val="1"/>
    <w:next w:val="1"/>
    <w:unhideWhenUsed/>
    <w:uiPriority w:val="39"/>
    <w:pPr>
      <w:widowControl/>
      <w:tabs>
        <w:tab w:val="right" w:leader="dot" w:pos="8296"/>
      </w:tabs>
      <w:spacing w:after="100" w:line="480" w:lineRule="exact"/>
      <w:ind w:left="221" w:firstLine="240" w:firstLineChars="100"/>
      <w:jc w:val="left"/>
    </w:pPr>
    <w:rPr>
      <w:rFonts w:ascii="等线" w:hAnsi="等线" w:eastAsia="等线"/>
      <w:kern w:val="0"/>
      <w:sz w:val="22"/>
      <w:szCs w:val="2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Emphasis"/>
    <w:qFormat/>
    <w:uiPriority w:val="0"/>
    <w:rPr>
      <w:rFonts w:eastAsia="宋体"/>
      <w:b/>
      <w:iCs/>
      <w:sz w:val="24"/>
    </w:rPr>
  </w:style>
  <w:style w:type="character" w:styleId="14">
    <w:name w:val="Hyperlink"/>
    <w:unhideWhenUsed/>
    <w:uiPriority w:val="99"/>
    <w:rPr>
      <w:color w:val="0563C1"/>
      <w:u w:val="single"/>
    </w:rPr>
  </w:style>
  <w:style w:type="character" w:customStyle="1" w:styleId="15">
    <w:name w:val="页眉 字符"/>
    <w:link w:val="6"/>
    <w:qFormat/>
    <w:uiPriority w:val="0"/>
    <w:rPr>
      <w:kern w:val="2"/>
      <w:sz w:val="18"/>
      <w:szCs w:val="18"/>
    </w:rPr>
  </w:style>
  <w:style w:type="character" w:customStyle="1" w:styleId="16">
    <w:name w:val="页脚 字符"/>
    <w:link w:val="5"/>
    <w:qFormat/>
    <w:uiPriority w:val="99"/>
    <w:rPr>
      <w:kern w:val="2"/>
      <w:sz w:val="18"/>
      <w:szCs w:val="18"/>
    </w:rPr>
  </w:style>
  <w:style w:type="paragraph" w:styleId="17">
    <w:name w:val="List Paragraph"/>
    <w:basedOn w:val="1"/>
    <w:qFormat/>
    <w:uiPriority w:val="34"/>
    <w:pPr>
      <w:ind w:firstLine="420" w:firstLineChars="200"/>
    </w:pPr>
    <w:rPr>
      <w:sz w:val="24"/>
    </w:rPr>
  </w:style>
  <w:style w:type="character" w:customStyle="1" w:styleId="18">
    <w:name w:val="日期 字符"/>
    <w:link w:val="4"/>
    <w:uiPriority w:val="0"/>
    <w:rPr>
      <w:kern w:val="2"/>
      <w:sz w:val="21"/>
      <w:szCs w:val="24"/>
    </w:rPr>
  </w:style>
  <w:style w:type="character" w:customStyle="1" w:styleId="19">
    <w:name w:val="标题 1 字符"/>
    <w:link w:val="2"/>
    <w:uiPriority w:val="0"/>
    <w:rPr>
      <w:b/>
      <w:bCs/>
      <w:kern w:val="44"/>
      <w:sz w:val="32"/>
      <w:szCs w:val="44"/>
    </w:rPr>
  </w:style>
  <w:style w:type="character" w:customStyle="1" w:styleId="20">
    <w:name w:val="副标题 字符"/>
    <w:link w:val="8"/>
    <w:uiPriority w:val="0"/>
    <w:rPr>
      <w:rFonts w:ascii="等线 Light" w:hAnsi="等线 Light" w:cs="Times New Roman"/>
      <w:b/>
      <w:bCs/>
      <w:kern w:val="28"/>
      <w:sz w:val="30"/>
      <w:szCs w:val="32"/>
    </w:rPr>
  </w:style>
  <w:style w:type="paragraph" w:customStyle="1" w:styleId="21">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C4738-798D-41B4-BF3B-6CDD1EA35DE8}">
  <ds:schemaRefs/>
</ds:datastoreItem>
</file>

<file path=docProps/app.xml><?xml version="1.0" encoding="utf-8"?>
<Properties xmlns="http://schemas.openxmlformats.org/officeDocument/2006/extended-properties" xmlns:vt="http://schemas.openxmlformats.org/officeDocument/2006/docPropsVTypes">
  <Template>Normal</Template>
  <Pages>13</Pages>
  <Words>901</Words>
  <Characters>5138</Characters>
  <Lines>42</Lines>
  <Paragraphs>12</Paragraphs>
  <TotalTime>496</TotalTime>
  <ScaleCrop>false</ScaleCrop>
  <LinksUpToDate>false</LinksUpToDate>
  <CharactersWithSpaces>6027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2019-06-20T17:25:00Z</dcterms:created>
  <dc:creator>yuqilee</dc:creator>
  <cp:lastModifiedBy>Administrator</cp:lastModifiedBy>
  <cp:lastPrinted>2019-06-21T01:52:00Z</cp:lastPrinted>
  <dcterms:modified xsi:type="dcterms:W3CDTF">2019-06-21T02:13:20Z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