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color w:val="auto"/>
          <w:sz w:val="36"/>
          <w:szCs w:val="36"/>
          <w:highlight w:val="none"/>
        </w:rPr>
      </w:pPr>
      <w:r>
        <w:rPr>
          <w:rFonts w:hint="eastAsia" w:ascii="黑体" w:eastAsia="黑体"/>
          <w:b/>
          <w:color w:val="auto"/>
          <w:sz w:val="36"/>
          <w:szCs w:val="36"/>
          <w:highlight w:val="none"/>
        </w:rPr>
        <w:t>通识选修课教学进程表</w:t>
      </w:r>
      <w:bookmarkStart w:id="0" w:name="_GoBack"/>
      <w:bookmarkEnd w:id="0"/>
    </w:p>
    <w:p>
      <w:pPr>
        <w:jc w:val="center"/>
        <w:rPr>
          <w:rFonts w:hint="eastAsia" w:ascii="黑体" w:eastAsia="黑体"/>
          <w:b/>
          <w:color w:val="auto"/>
          <w:sz w:val="24"/>
          <w:highlight w:val="none"/>
        </w:rPr>
      </w:pPr>
    </w:p>
    <w:tbl>
      <w:tblPr>
        <w:tblStyle w:val="5"/>
        <w:tblW w:w="11052" w:type="dxa"/>
        <w:jc w:val="center"/>
        <w:tblLayout w:type="fixed"/>
        <w:tblCellMar>
          <w:top w:w="0" w:type="dxa"/>
          <w:left w:w="108" w:type="dxa"/>
          <w:bottom w:w="0" w:type="dxa"/>
          <w:right w:w="108" w:type="dxa"/>
        </w:tblCellMar>
      </w:tblPr>
      <w:tblGrid>
        <w:gridCol w:w="862"/>
        <w:gridCol w:w="1323"/>
        <w:gridCol w:w="2712"/>
        <w:gridCol w:w="643"/>
        <w:gridCol w:w="1564"/>
        <w:gridCol w:w="1748"/>
        <w:gridCol w:w="2200"/>
      </w:tblGrid>
      <w:tr>
        <w:tblPrEx>
          <w:tblCellMar>
            <w:top w:w="0" w:type="dxa"/>
            <w:left w:w="108" w:type="dxa"/>
            <w:bottom w:w="0" w:type="dxa"/>
            <w:right w:w="108" w:type="dxa"/>
          </w:tblCellMar>
        </w:tblPrEx>
        <w:trPr>
          <w:trHeight w:val="600" w:hRule="atLeast"/>
          <w:tblHeader/>
          <w:jc w:val="center"/>
        </w:trPr>
        <w:tc>
          <w:tcPr>
            <w:tcW w:w="8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color w:val="auto"/>
                <w:kern w:val="0"/>
                <w:szCs w:val="21"/>
                <w:highlight w:val="none"/>
              </w:rPr>
            </w:pPr>
            <w:r>
              <w:rPr>
                <w:rFonts w:hint="eastAsia" w:ascii="宋体" w:hAnsi="宋体" w:cs="宋体"/>
                <w:b/>
                <w:color w:val="auto"/>
                <w:kern w:val="0"/>
                <w:szCs w:val="21"/>
                <w:highlight w:val="none"/>
              </w:rPr>
              <w:t>课程组</w:t>
            </w: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课程编号</w:t>
            </w:r>
          </w:p>
        </w:tc>
        <w:tc>
          <w:tcPr>
            <w:tcW w:w="2712"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ascii="宋体" w:hAnsi="宋体" w:cs="宋体"/>
                <w:b/>
                <w:color w:val="auto"/>
                <w:kern w:val="0"/>
                <w:szCs w:val="21"/>
                <w:highlight w:val="none"/>
              </w:rPr>
            </w:pPr>
            <w:r>
              <w:rPr>
                <w:rFonts w:hint="eastAsia" w:ascii="宋体" w:hAnsi="宋体" w:cs="宋体"/>
                <w:b/>
                <w:color w:val="auto"/>
                <w:kern w:val="0"/>
                <w:szCs w:val="21"/>
                <w:highlight w:val="none"/>
              </w:rPr>
              <w:t>课程名称</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学分</w:t>
            </w:r>
          </w:p>
        </w:tc>
        <w:tc>
          <w:tcPr>
            <w:tcW w:w="1564"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建议选修学期</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课程归属学院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CellMar>
            <w:top w:w="0" w:type="dxa"/>
            <w:left w:w="108" w:type="dxa"/>
            <w:bottom w:w="0" w:type="dxa"/>
            <w:right w:w="108" w:type="dxa"/>
          </w:tblCellMar>
        </w:tblPrEx>
        <w:trPr>
          <w:trHeight w:val="402" w:hRule="atLeast"/>
          <w:jc w:val="center"/>
        </w:trPr>
        <w:tc>
          <w:tcPr>
            <w:tcW w:w="862" w:type="dxa"/>
            <w:vMerge w:val="restart"/>
            <w:tcBorders>
              <w:top w:val="single" w:color="auto" w:sz="4" w:space="0"/>
              <w:left w:val="single" w:color="auto" w:sz="4" w:space="0"/>
              <w:right w:val="single" w:color="auto" w:sz="4" w:space="0"/>
            </w:tcBorders>
            <w:shd w:val="clear" w:color="auto" w:fill="FFFFFF"/>
            <w:noWrap w:val="0"/>
            <w:textDirection w:val="tbRlV"/>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人文社科类</w:t>
            </w:r>
          </w:p>
          <w:p>
            <w:pPr>
              <w:jc w:val="center"/>
              <w:rPr>
                <w:rFonts w:hint="eastAsia" w:ascii="宋体" w:hAnsi="宋体" w:cs="宋体"/>
                <w:b/>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color w:val="auto"/>
                <w:kern w:val="0"/>
                <w:szCs w:val="21"/>
                <w:highlight w:val="none"/>
              </w:rPr>
            </w:pPr>
            <w:r>
              <w:rPr>
                <w:rFonts w:hint="eastAsia"/>
                <w:color w:val="auto"/>
                <w:kern w:val="0"/>
                <w:szCs w:val="21"/>
                <w:highlight w:val="none"/>
              </w:rPr>
              <w:t>22R181001</w:t>
            </w:r>
          </w:p>
        </w:tc>
        <w:tc>
          <w:tcPr>
            <w:tcW w:w="2712"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心理健康教育</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通识限选课</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FFFFFF"/>
            <w:noWrap w:val="0"/>
            <w:textDirection w:val="tbRlV"/>
            <w:vAlign w:val="center"/>
          </w:tcPr>
          <w:p>
            <w:pPr>
              <w:widowControl/>
              <w:jc w:val="center"/>
              <w:rPr>
                <w:rFonts w:ascii="宋体" w:hAnsi="宋体" w:cs="宋体"/>
                <w:b/>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color w:val="auto"/>
                <w:kern w:val="0"/>
                <w:szCs w:val="21"/>
                <w:highlight w:val="none"/>
              </w:rPr>
            </w:pPr>
            <w:r>
              <w:rPr>
                <w:color w:val="auto"/>
                <w:kern w:val="0"/>
                <w:szCs w:val="21"/>
                <w:highlight w:val="none"/>
              </w:rPr>
              <w:t>25B000002</w:t>
            </w:r>
          </w:p>
        </w:tc>
        <w:tc>
          <w:tcPr>
            <w:tcW w:w="2712"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中西法律文化比较</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法律学院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color w:val="auto"/>
                <w:kern w:val="0"/>
                <w:szCs w:val="21"/>
                <w:highlight w:val="none"/>
              </w:rPr>
            </w:pPr>
            <w:r>
              <w:rPr>
                <w:color w:val="auto"/>
                <w:kern w:val="0"/>
                <w:szCs w:val="21"/>
                <w:highlight w:val="none"/>
              </w:rPr>
              <w:t>25B000003</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法学概说</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法律学院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法学类。法学类专业学生不建议选修</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color w:val="auto"/>
                <w:kern w:val="0"/>
                <w:szCs w:val="21"/>
                <w:highlight w:val="none"/>
              </w:rPr>
            </w:pPr>
            <w:r>
              <w:rPr>
                <w:color w:val="auto"/>
                <w:kern w:val="0"/>
                <w:szCs w:val="21"/>
                <w:highlight w:val="none"/>
              </w:rPr>
              <w:t>25B000004</w:t>
            </w:r>
          </w:p>
        </w:tc>
        <w:tc>
          <w:tcPr>
            <w:tcW w:w="2712" w:type="dxa"/>
            <w:tcBorders>
              <w:top w:val="nil"/>
              <w:left w:val="nil"/>
              <w:bottom w:val="single" w:color="auto" w:sz="4" w:space="0"/>
              <w:right w:val="single" w:color="auto" w:sz="4" w:space="0"/>
            </w:tcBorders>
            <w:shd w:val="clear" w:color="auto" w:fill="FFFFFF"/>
            <w:noWrap w:val="0"/>
            <w:vAlign w:val="center"/>
          </w:tcPr>
          <w:p>
            <w:pPr>
              <w:widowControl/>
              <w:spacing w:line="4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法学方法论</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szCs w:val="21"/>
                <w:highlight w:val="none"/>
              </w:rPr>
            </w:pPr>
            <w:r>
              <w:rPr>
                <w:rFonts w:hint="eastAsia" w:ascii="宋体" w:hAnsi="宋体"/>
                <w:color w:val="auto"/>
                <w:szCs w:val="21"/>
                <w:highlight w:val="none"/>
              </w:rPr>
              <w:t>法律学院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25B000005</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olor w:val="auto"/>
                <w:szCs w:val="21"/>
                <w:highlight w:val="none"/>
              </w:rPr>
            </w:pPr>
            <w:r>
              <w:rPr>
                <w:rFonts w:hint="eastAsia" w:ascii="宋体" w:hAnsi="宋体"/>
                <w:color w:val="auto"/>
                <w:szCs w:val="21"/>
                <w:highlight w:val="none"/>
              </w:rPr>
              <w:t>法律与社会</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olor w:val="auto"/>
                <w:szCs w:val="21"/>
                <w:highlight w:val="none"/>
              </w:rPr>
              <w:t>法律学院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25B000007</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数字货币与法律</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法律学院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25B000009</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银行贷款业务法律基础</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法律学院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25B0000</w:t>
            </w:r>
            <w:r>
              <w:rPr>
                <w:rStyle w:val="9"/>
                <w:rFonts w:hint="default" w:ascii="Times New Roman" w:hAnsi="Times New Roman" w:cs="Times New Roman"/>
                <w:b w:val="0"/>
                <w:bCs w:val="0"/>
                <w:color w:val="auto"/>
                <w:sz w:val="21"/>
                <w:szCs w:val="21"/>
                <w:highlight w:val="none"/>
                <w:lang w:bidi="ar"/>
              </w:rPr>
              <w:t>10</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法律人生</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法律学院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25C000001</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科技与法律</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经济法学院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525"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color w:val="auto"/>
                <w:kern w:val="0"/>
                <w:szCs w:val="21"/>
                <w:highlight w:val="none"/>
              </w:rPr>
            </w:pPr>
            <w:r>
              <w:rPr>
                <w:color w:val="auto"/>
                <w:kern w:val="0"/>
                <w:szCs w:val="21"/>
                <w:highlight w:val="none"/>
              </w:rPr>
              <w:t>25C000002</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东方与西方——一带一路法律文明</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经济法学院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525"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color w:val="auto"/>
                <w:kern w:val="0"/>
                <w:szCs w:val="21"/>
                <w:highlight w:val="none"/>
              </w:rPr>
            </w:pPr>
            <w:r>
              <w:rPr>
                <w:color w:val="auto"/>
                <w:kern w:val="0"/>
                <w:szCs w:val="21"/>
                <w:highlight w:val="none"/>
              </w:rPr>
              <w:t>25C000004</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营商环境法治</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经济法学院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525"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color w:val="auto"/>
                <w:kern w:val="0"/>
                <w:szCs w:val="21"/>
                <w:highlight w:val="none"/>
              </w:rPr>
            </w:pPr>
            <w:r>
              <w:rPr>
                <w:color w:val="auto"/>
                <w:kern w:val="0"/>
                <w:szCs w:val="21"/>
                <w:highlight w:val="none"/>
              </w:rPr>
              <w:t>25C000005</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创新创业与知识产权</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经济法学院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525"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color w:val="auto"/>
                <w:kern w:val="0"/>
                <w:szCs w:val="21"/>
                <w:highlight w:val="none"/>
              </w:rPr>
            </w:pPr>
            <w:r>
              <w:rPr>
                <w:color w:val="auto"/>
                <w:kern w:val="0"/>
                <w:szCs w:val="21"/>
                <w:highlight w:val="none"/>
              </w:rPr>
              <w:t>25C000006</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ascii="宋体" w:hAnsi="宋体" w:cs="宋体"/>
                <w:color w:val="auto"/>
                <w:kern w:val="0"/>
                <w:szCs w:val="21"/>
                <w:highlight w:val="none"/>
              </w:rPr>
              <w:t>Natural Law: Morality and Positivism</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经济法学院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25E000001</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全球化与法律现代化</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国际法学院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color w:val="auto"/>
                <w:kern w:val="0"/>
                <w:szCs w:val="21"/>
                <w:highlight w:val="none"/>
              </w:rPr>
            </w:pPr>
            <w:r>
              <w:rPr>
                <w:color w:val="auto"/>
                <w:kern w:val="0"/>
                <w:szCs w:val="21"/>
                <w:highlight w:val="none"/>
              </w:rPr>
              <w:t>25E000004</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反恐与法律</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国际法学院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color w:val="auto"/>
                <w:kern w:val="0"/>
                <w:szCs w:val="21"/>
                <w:highlight w:val="none"/>
              </w:rPr>
            </w:pPr>
            <w:r>
              <w:rPr>
                <w:color w:val="auto"/>
                <w:kern w:val="0"/>
                <w:szCs w:val="21"/>
                <w:highlight w:val="none"/>
              </w:rPr>
              <w:t>25E000005</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英美法入门</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国际法学院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color w:val="auto"/>
                <w:kern w:val="0"/>
                <w:szCs w:val="21"/>
                <w:highlight w:val="none"/>
              </w:rPr>
            </w:pPr>
            <w:r>
              <w:rPr>
                <w:color w:val="auto"/>
                <w:kern w:val="0"/>
                <w:szCs w:val="21"/>
                <w:highlight w:val="none"/>
              </w:rPr>
              <w:t>25E000006</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合同与生活</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国际法学院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25E000020</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国际发展合作法</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国际法学院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25E000009</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创业法学</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国际法学院</w:t>
            </w:r>
          </w:p>
        </w:tc>
        <w:tc>
          <w:tcPr>
            <w:tcW w:w="2200" w:type="dxa"/>
            <w:tcBorders>
              <w:top w:val="nil"/>
              <w:left w:val="nil"/>
              <w:bottom w:val="single" w:color="auto" w:sz="4" w:space="0"/>
              <w:right w:val="single" w:color="auto" w:sz="4" w:space="0"/>
            </w:tcBorders>
            <w:shd w:val="clear" w:color="auto" w:fill="FFFFFF"/>
            <w:noWrap w:val="0"/>
            <w:vAlign w:val="center"/>
          </w:tcPr>
          <w:p>
            <w:pPr>
              <w:spacing w:line="48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25E000010</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金融市场的前沿法律问题透视</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国际法学院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25E000011</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跨国公司入门</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国际法学院</w:t>
            </w:r>
          </w:p>
        </w:tc>
        <w:tc>
          <w:tcPr>
            <w:tcW w:w="2200" w:type="dxa"/>
            <w:tcBorders>
              <w:top w:val="nil"/>
              <w:left w:val="nil"/>
              <w:bottom w:val="single" w:color="auto" w:sz="4" w:space="0"/>
              <w:right w:val="single" w:color="auto" w:sz="4" w:space="0"/>
            </w:tcBorders>
            <w:shd w:val="clear" w:color="auto" w:fill="FFFFFF"/>
            <w:noWrap w:val="0"/>
            <w:vAlign w:val="center"/>
          </w:tcPr>
          <w:p>
            <w:pPr>
              <w:spacing w:line="48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25E000012</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法律与文学</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国际法学院</w:t>
            </w:r>
          </w:p>
        </w:tc>
        <w:tc>
          <w:tcPr>
            <w:tcW w:w="2200" w:type="dxa"/>
            <w:tcBorders>
              <w:top w:val="nil"/>
              <w:left w:val="nil"/>
              <w:bottom w:val="single" w:color="auto" w:sz="4" w:space="0"/>
              <w:right w:val="single" w:color="auto" w:sz="4" w:space="0"/>
            </w:tcBorders>
            <w:shd w:val="clear" w:color="auto" w:fill="FFFFFF"/>
            <w:noWrap w:val="0"/>
            <w:vAlign w:val="center"/>
          </w:tcPr>
          <w:p>
            <w:pPr>
              <w:spacing w:line="48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25E000013</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战争与法律</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国际法学院</w:t>
            </w:r>
          </w:p>
        </w:tc>
        <w:tc>
          <w:tcPr>
            <w:tcW w:w="2200" w:type="dxa"/>
            <w:tcBorders>
              <w:top w:val="nil"/>
              <w:left w:val="nil"/>
              <w:bottom w:val="single" w:color="auto" w:sz="4" w:space="0"/>
              <w:right w:val="single" w:color="auto" w:sz="4" w:space="0"/>
            </w:tcBorders>
            <w:shd w:val="clear" w:color="auto" w:fill="FFFFFF"/>
            <w:noWrap w:val="0"/>
            <w:vAlign w:val="center"/>
          </w:tcPr>
          <w:p>
            <w:pPr>
              <w:spacing w:line="48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25E000014</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房产法律实务</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国际法学院</w:t>
            </w:r>
          </w:p>
        </w:tc>
        <w:tc>
          <w:tcPr>
            <w:tcW w:w="2200" w:type="dxa"/>
            <w:tcBorders>
              <w:top w:val="nil"/>
              <w:left w:val="nil"/>
              <w:bottom w:val="single" w:color="auto" w:sz="4" w:space="0"/>
              <w:right w:val="single" w:color="auto" w:sz="4" w:space="0"/>
            </w:tcBorders>
            <w:shd w:val="clear" w:color="auto" w:fill="FFFFFF"/>
            <w:noWrap w:val="0"/>
            <w:vAlign w:val="center"/>
          </w:tcPr>
          <w:p>
            <w:pPr>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25E000015</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基因技术规制与生物安全</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国际法学院</w:t>
            </w:r>
          </w:p>
        </w:tc>
        <w:tc>
          <w:tcPr>
            <w:tcW w:w="2200" w:type="dxa"/>
            <w:tcBorders>
              <w:top w:val="nil"/>
              <w:left w:val="nil"/>
              <w:bottom w:val="single" w:color="auto" w:sz="4" w:space="0"/>
              <w:right w:val="single" w:color="auto" w:sz="4" w:space="0"/>
            </w:tcBorders>
            <w:shd w:val="clear" w:color="auto" w:fill="FFFFFF"/>
            <w:noWrap w:val="0"/>
            <w:vAlign w:val="center"/>
          </w:tcPr>
          <w:p>
            <w:pPr>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25E000017</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法律与电影</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国际法学院</w:t>
            </w:r>
          </w:p>
        </w:tc>
        <w:tc>
          <w:tcPr>
            <w:tcW w:w="2200" w:type="dxa"/>
            <w:tcBorders>
              <w:top w:val="nil"/>
              <w:left w:val="nil"/>
              <w:bottom w:val="single" w:color="auto" w:sz="4" w:space="0"/>
              <w:right w:val="single" w:color="auto" w:sz="4" w:space="0"/>
            </w:tcBorders>
            <w:shd w:val="clear" w:color="auto" w:fill="FFFFFF"/>
            <w:noWrap w:val="0"/>
            <w:vAlign w:val="center"/>
          </w:tcPr>
          <w:p>
            <w:pPr>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25E000019</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国际法案例精选</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国际法学院</w:t>
            </w:r>
          </w:p>
        </w:tc>
        <w:tc>
          <w:tcPr>
            <w:tcW w:w="2200" w:type="dxa"/>
            <w:tcBorders>
              <w:top w:val="nil"/>
              <w:left w:val="nil"/>
              <w:bottom w:val="single" w:color="auto" w:sz="4" w:space="0"/>
              <w:right w:val="single" w:color="auto" w:sz="4" w:space="0"/>
            </w:tcBorders>
            <w:shd w:val="clear" w:color="auto" w:fill="FFFFFF"/>
            <w:noWrap w:val="0"/>
            <w:vAlign w:val="center"/>
          </w:tcPr>
          <w:p>
            <w:pPr>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000000"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25E000023</w:t>
            </w:r>
          </w:p>
        </w:tc>
        <w:tc>
          <w:tcPr>
            <w:tcW w:w="2712"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境外游学法律护佑</w:t>
            </w:r>
          </w:p>
        </w:tc>
        <w:tc>
          <w:tcPr>
            <w:tcW w:w="643" w:type="dxa"/>
            <w:tcBorders>
              <w:top w:val="single" w:color="000000"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国际法学院</w:t>
            </w:r>
          </w:p>
        </w:tc>
        <w:tc>
          <w:tcPr>
            <w:tcW w:w="2200"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25D000001</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毒品、社会与人的行为</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刑事司法学院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25D000004</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大学生安全与防范</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olor w:val="auto"/>
                <w:szCs w:val="21"/>
                <w:highlight w:val="none"/>
              </w:rPr>
              <w:t>刑事司法学院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25D000005</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刑事法学者：人生光影与智慧</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ind w:firstLine="630" w:firstLineChars="300"/>
              <w:jc w:val="center"/>
              <w:rPr>
                <w:rFonts w:hint="eastAsia" w:ascii="宋体" w:hAnsi="宋体"/>
                <w:color w:val="auto"/>
                <w:szCs w:val="21"/>
                <w:highlight w:val="none"/>
              </w:rPr>
            </w:pPr>
            <w:r>
              <w:rPr>
                <w:rFonts w:hint="eastAsia" w:ascii="宋体" w:hAnsi="宋体" w:cs="宋体"/>
                <w:color w:val="auto"/>
                <w:kern w:val="0"/>
                <w:szCs w:val="21"/>
                <w:highlight w:val="none"/>
              </w:rPr>
              <w:t>刑事司法学院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25D000007</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犯罪心理学</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olor w:val="auto"/>
                <w:szCs w:val="21"/>
                <w:highlight w:val="none"/>
              </w:rPr>
            </w:pPr>
            <w:r>
              <w:rPr>
                <w:rFonts w:hint="eastAsia" w:ascii="宋体" w:hAnsi="宋体" w:cs="宋体"/>
                <w:color w:val="auto"/>
                <w:kern w:val="0"/>
                <w:szCs w:val="21"/>
                <w:highlight w:val="none"/>
              </w:rPr>
              <w:t>刑事司法学院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法学类。引进国际课程</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000000"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25D000012</w:t>
            </w:r>
          </w:p>
        </w:tc>
        <w:tc>
          <w:tcPr>
            <w:tcW w:w="2712"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生活中的刑法问题</w:t>
            </w:r>
          </w:p>
        </w:tc>
        <w:tc>
          <w:tcPr>
            <w:tcW w:w="643" w:type="dxa"/>
            <w:tcBorders>
              <w:top w:val="single" w:color="000000"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w:t>
            </w:r>
          </w:p>
        </w:tc>
        <w:tc>
          <w:tcPr>
            <w:tcW w:w="1748"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olor w:val="auto"/>
                <w:szCs w:val="21"/>
                <w:highlight w:val="none"/>
              </w:rPr>
            </w:pPr>
            <w:r>
              <w:rPr>
                <w:rFonts w:hint="eastAsia" w:ascii="宋体" w:hAnsi="宋体" w:cs="宋体"/>
                <w:color w:val="auto"/>
                <w:kern w:val="0"/>
                <w:szCs w:val="21"/>
                <w:highlight w:val="none"/>
                <w:lang w:bidi="ar"/>
              </w:rPr>
              <w:t>刑事司法学院</w:t>
            </w:r>
          </w:p>
        </w:tc>
        <w:tc>
          <w:tcPr>
            <w:tcW w:w="2200"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000000"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25D000013</w:t>
            </w:r>
          </w:p>
        </w:tc>
        <w:tc>
          <w:tcPr>
            <w:tcW w:w="2712"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法学方法与思维：刑法趣案研习</w:t>
            </w:r>
          </w:p>
        </w:tc>
        <w:tc>
          <w:tcPr>
            <w:tcW w:w="643" w:type="dxa"/>
            <w:tcBorders>
              <w:top w:val="single" w:color="000000"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olor w:val="auto"/>
                <w:szCs w:val="21"/>
                <w:highlight w:val="none"/>
              </w:rPr>
            </w:pPr>
            <w:r>
              <w:rPr>
                <w:rFonts w:hint="eastAsia" w:ascii="宋体" w:hAnsi="宋体" w:cs="宋体"/>
                <w:color w:val="auto"/>
                <w:kern w:val="0"/>
                <w:szCs w:val="21"/>
                <w:highlight w:val="none"/>
                <w:lang w:bidi="ar"/>
              </w:rPr>
              <w:t>刑事司法学院</w:t>
            </w:r>
          </w:p>
        </w:tc>
        <w:tc>
          <w:tcPr>
            <w:tcW w:w="2200"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000000"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25D000014</w:t>
            </w:r>
          </w:p>
        </w:tc>
        <w:tc>
          <w:tcPr>
            <w:tcW w:w="2712"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犯罪原理与预防</w:t>
            </w:r>
          </w:p>
        </w:tc>
        <w:tc>
          <w:tcPr>
            <w:tcW w:w="643" w:type="dxa"/>
            <w:tcBorders>
              <w:top w:val="single" w:color="000000"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w:t>
            </w:r>
          </w:p>
        </w:tc>
        <w:tc>
          <w:tcPr>
            <w:tcW w:w="1748"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olor w:val="auto"/>
                <w:szCs w:val="21"/>
                <w:highlight w:val="none"/>
              </w:rPr>
            </w:pPr>
            <w:r>
              <w:rPr>
                <w:rFonts w:hint="eastAsia" w:ascii="宋体" w:hAnsi="宋体" w:cs="宋体"/>
                <w:color w:val="auto"/>
                <w:kern w:val="0"/>
                <w:szCs w:val="21"/>
                <w:highlight w:val="none"/>
                <w:lang w:bidi="ar"/>
              </w:rPr>
              <w:t>刑事司法学院</w:t>
            </w:r>
          </w:p>
        </w:tc>
        <w:tc>
          <w:tcPr>
            <w:tcW w:w="2200"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25L000001</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全球热点法律问题透视</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olor w:val="auto"/>
                <w:szCs w:val="21"/>
                <w:highlight w:val="none"/>
              </w:rPr>
              <w:t>警务学院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25L000003</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刑罚、文明与社会变迁</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olor w:val="auto"/>
                <w:szCs w:val="21"/>
                <w:highlight w:val="none"/>
              </w:rPr>
              <w:t>警务学院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25L000004</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英美法律文化</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警务学院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25L000005</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法庭中的科学证据</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警务学院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25L000006</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法律与女性自我保护</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警务学院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25L000007</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经典法医学案例剖析</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警务学院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25L000009</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法律视野中的批判性思维</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警务学院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25L000011</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生活中的文件检验</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警务学院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25L000012</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法律日语</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警务学院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000000"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25L000014</w:t>
            </w:r>
          </w:p>
        </w:tc>
        <w:tc>
          <w:tcPr>
            <w:tcW w:w="2712"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犯罪空间分析与犯罪预防</w:t>
            </w:r>
          </w:p>
        </w:tc>
        <w:tc>
          <w:tcPr>
            <w:tcW w:w="643" w:type="dxa"/>
            <w:tcBorders>
              <w:top w:val="single" w:color="000000"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警务学院</w:t>
            </w:r>
          </w:p>
        </w:tc>
        <w:tc>
          <w:tcPr>
            <w:tcW w:w="2200"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25N000017</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大数据导论：数据思维与数据治理</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人工智能法学院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25N000001</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人工智能与法律</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olor w:val="auto"/>
                <w:szCs w:val="21"/>
                <w:highlight w:val="none"/>
              </w:rPr>
              <w:t>人工智能法学院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r>
              <w:rPr>
                <w:rFonts w:hint="eastAsia" w:ascii="宋体" w:hAnsi="宋体"/>
                <w:color w:val="auto"/>
                <w:szCs w:val="21"/>
                <w:highlight w:val="none"/>
              </w:rPr>
              <w:t>。法学专业（人工智能法方向）不建议选修</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25N000006</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大国海洋</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olor w:val="auto"/>
                <w:szCs w:val="21"/>
                <w:highlight w:val="none"/>
              </w:rPr>
              <w:t>人工智能法学院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25N000009</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自然资源法学</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人工智能法学院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25N000010</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中华法系经典案例解析</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人工智能法学院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25N000011</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海洋文明与法治</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人工智能法学院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25N000013</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法律大数据研究</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人工智能法学院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25N000014</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法律通识：像法律人一样思考</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人工智能法学院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25N000015</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个人信息保护的经典案例分析</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人工智能法学院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25N000016</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英美法案例分析与检索技巧</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人工智能法学院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25N000025</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数据法律理论与实务</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人工智能法学院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25N000026</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影响性刑事案件的法理启示</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人工智能法学院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25G000012</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法律与艺术</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经济管理学院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25H000010</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法律、宗教与人类秩序</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25R000002</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消费与犯罪</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szCs w:val="21"/>
                <w:highlight w:val="none"/>
              </w:rPr>
              <w:t>25S000004</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中西法律文化交流史</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语言文化学院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25F000005</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习近平法治思想专题</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马克思主义学院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25F000006</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党内法规学</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马克思主义学院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25U000003</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上海合作组织法律问题研究</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上合组织基地</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25U000009</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网络经济犯罪防控与国家经济安全</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上合组织基地</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25U000012</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欧洲法律文化概论</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国际法学院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25U000017</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大数据与数据法</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上合组织基地</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25U000022</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国际货物贸易法入门</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上合组织基地</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rFonts w:hint="eastAsia" w:eastAsia="宋体"/>
                <w:color w:val="auto"/>
                <w:kern w:val="0"/>
                <w:szCs w:val="21"/>
                <w:highlight w:val="none"/>
                <w:lang w:eastAsia="zh-CN"/>
              </w:rPr>
            </w:pPr>
            <w:r>
              <w:rPr>
                <w:color w:val="auto"/>
                <w:kern w:val="0"/>
                <w:szCs w:val="21"/>
                <w:highlight w:val="none"/>
              </w:rPr>
              <w:t>25U00002</w:t>
            </w:r>
            <w:r>
              <w:rPr>
                <w:rFonts w:hint="eastAsia"/>
                <w:color w:val="auto"/>
                <w:kern w:val="0"/>
                <w:szCs w:val="21"/>
                <w:highlight w:val="none"/>
                <w:lang w:val="en-US" w:eastAsia="zh-CN"/>
              </w:rPr>
              <w:t>5</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法考中的国际法</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上合组织基地</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rFonts w:hint="default" w:eastAsia="宋体"/>
                <w:color w:val="auto"/>
                <w:kern w:val="0"/>
                <w:szCs w:val="21"/>
                <w:highlight w:val="none"/>
                <w:lang w:val="en-US" w:eastAsia="zh-CN"/>
              </w:rPr>
            </w:pPr>
            <w:r>
              <w:rPr>
                <w:color w:val="auto"/>
                <w:kern w:val="0"/>
                <w:szCs w:val="21"/>
                <w:highlight w:val="none"/>
              </w:rPr>
              <w:t>25U0000</w:t>
            </w:r>
            <w:r>
              <w:rPr>
                <w:rFonts w:hint="eastAsia"/>
                <w:color w:val="auto"/>
                <w:kern w:val="0"/>
                <w:szCs w:val="21"/>
                <w:highlight w:val="none"/>
                <w:lang w:val="en-US" w:eastAsia="zh-CN"/>
              </w:rPr>
              <w:t>26</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“一带一路”和国际经贸规则</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上合组织基地</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法学类</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25B000006</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股票与期货投资</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法律学院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25C000003</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环境与社会</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经济法学院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25E000007</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国际礼仪</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国际法学院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25E000016</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职场与人生</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国际法学院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25E000002</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伦理与人生</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国际法学院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25E000018</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辩论实训</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国际法学院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000000"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25E000022</w:t>
            </w:r>
          </w:p>
        </w:tc>
        <w:tc>
          <w:tcPr>
            <w:tcW w:w="2712"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left"/>
              <w:rPr>
                <w:rFonts w:hint="eastAsia" w:ascii="宋体" w:hAnsi="宋体"/>
                <w:color w:val="auto"/>
                <w:szCs w:val="21"/>
                <w:highlight w:val="none"/>
              </w:rPr>
            </w:pPr>
            <w:r>
              <w:rPr>
                <w:rFonts w:hint="eastAsia" w:ascii="宋体" w:hAnsi="宋体" w:cs="宋体"/>
                <w:color w:val="auto"/>
                <w:kern w:val="0"/>
                <w:szCs w:val="21"/>
                <w:highlight w:val="none"/>
                <w:lang w:bidi="ar"/>
              </w:rPr>
              <w:t>哈佛辩护术赏析</w:t>
            </w:r>
            <w:r>
              <w:rPr>
                <w:rFonts w:hint="eastAsia" w:ascii="宋体" w:hAnsi="宋体" w:cs="宋体"/>
                <w:color w:val="auto"/>
                <w:kern w:val="0"/>
                <w:szCs w:val="21"/>
                <w:highlight w:val="none"/>
                <w:lang w:bidi="ar"/>
              </w:rPr>
              <w:t xml:space="preserve"> </w:t>
            </w:r>
            <w:r>
              <w:rPr>
                <w:rFonts w:ascii="宋体" w:hAnsi="宋体" w:cs="宋体"/>
                <w:color w:val="auto"/>
                <w:kern w:val="0"/>
                <w:szCs w:val="21"/>
                <w:highlight w:val="none"/>
                <w:lang w:bidi="ar"/>
              </w:rPr>
              <w:t xml:space="preserve"> </w:t>
            </w:r>
          </w:p>
        </w:tc>
        <w:tc>
          <w:tcPr>
            <w:tcW w:w="643" w:type="dxa"/>
            <w:tcBorders>
              <w:top w:val="single" w:color="000000"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国际法学院</w:t>
            </w:r>
          </w:p>
        </w:tc>
        <w:tc>
          <w:tcPr>
            <w:tcW w:w="2200"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25D000006</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olor w:val="auto"/>
                <w:szCs w:val="21"/>
                <w:highlight w:val="none"/>
              </w:rPr>
              <w:t>正在崛起的印度</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刑事司法学院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000000"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25D000011</w:t>
            </w:r>
          </w:p>
        </w:tc>
        <w:tc>
          <w:tcPr>
            <w:tcW w:w="2712"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经典文学中的罪与罚</w:t>
            </w:r>
          </w:p>
        </w:tc>
        <w:tc>
          <w:tcPr>
            <w:tcW w:w="643" w:type="dxa"/>
            <w:tcBorders>
              <w:top w:val="single" w:color="000000"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w:t>
            </w:r>
          </w:p>
        </w:tc>
        <w:tc>
          <w:tcPr>
            <w:tcW w:w="1748"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olor w:val="auto"/>
                <w:szCs w:val="21"/>
                <w:highlight w:val="none"/>
              </w:rPr>
            </w:pPr>
            <w:r>
              <w:rPr>
                <w:rFonts w:hint="eastAsia" w:ascii="宋体" w:hAnsi="宋体" w:cs="宋体"/>
                <w:color w:val="auto"/>
                <w:kern w:val="0"/>
                <w:szCs w:val="21"/>
                <w:highlight w:val="none"/>
                <w:lang w:bidi="ar"/>
              </w:rPr>
              <w:t>刑事司法学院</w:t>
            </w:r>
          </w:p>
        </w:tc>
        <w:tc>
          <w:tcPr>
            <w:tcW w:w="2200"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25L000002</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证券投资心理学</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olor w:val="auto"/>
                <w:szCs w:val="21"/>
                <w:highlight w:val="none"/>
              </w:rPr>
              <w:t>警务学院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25L000010</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徒手防身术</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警务学院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25L000015</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婚姻与女权：影视作品中的女性被害与犯罪探析</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警务学院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25L000016</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中华射艺</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警务学院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25D000015</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学术写作通识</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纪检监察学院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25N000012</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金字塔原理：思考、表达和解决问题的方法</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人工智能法学院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25H000007</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中国社会思想史</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社会学专业不建议选修</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25H000006</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生命教育：人生幸福的秘密</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25I000001</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世界文明史</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25H000001</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社会调查研究方法</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25H000002</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当代中国社会变迁</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社会学、社会工作、劳动与社会保障专业不建议选修</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25H000005</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性别与社会</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color w:val="auto"/>
                <w:kern w:val="0"/>
                <w:szCs w:val="21"/>
                <w:highlight w:val="none"/>
              </w:rPr>
            </w:pPr>
            <w:r>
              <w:rPr>
                <w:color w:val="auto"/>
                <w:kern w:val="0"/>
                <w:szCs w:val="21"/>
                <w:highlight w:val="none"/>
              </w:rPr>
              <w:t>25H000008</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营销心理学</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color w:val="auto"/>
                <w:kern w:val="0"/>
                <w:szCs w:val="21"/>
                <w:highlight w:val="none"/>
              </w:rPr>
            </w:pPr>
            <w:r>
              <w:rPr>
                <w:color w:val="auto"/>
                <w:kern w:val="0"/>
                <w:szCs w:val="21"/>
                <w:highlight w:val="none"/>
              </w:rPr>
              <w:t>25H000009</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恋爱与人生</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25H000003</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心理学与生活</w:t>
            </w:r>
          </w:p>
        </w:tc>
        <w:tc>
          <w:tcPr>
            <w:tcW w:w="643"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25I000005</w:t>
            </w:r>
          </w:p>
        </w:tc>
        <w:tc>
          <w:tcPr>
            <w:tcW w:w="2712"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政府与社会发展</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25I000004</w:t>
            </w:r>
          </w:p>
        </w:tc>
        <w:tc>
          <w:tcPr>
            <w:tcW w:w="2712"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大国崛起</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color w:val="auto"/>
                <w:kern w:val="0"/>
                <w:szCs w:val="21"/>
                <w:highlight w:val="none"/>
              </w:rPr>
            </w:pPr>
            <w:r>
              <w:rPr>
                <w:color w:val="auto"/>
                <w:kern w:val="0"/>
                <w:szCs w:val="21"/>
                <w:highlight w:val="none"/>
              </w:rPr>
              <w:t>25I000006</w:t>
            </w:r>
          </w:p>
        </w:tc>
        <w:tc>
          <w:tcPr>
            <w:tcW w:w="2712"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政治与生活</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nil"/>
              <w:left w:val="nil"/>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政治学与行政学专业不建议选修。</w:t>
            </w:r>
          </w:p>
        </w:tc>
      </w:tr>
      <w:tr>
        <w:tblPrEx>
          <w:tblCellMar>
            <w:top w:w="0" w:type="dxa"/>
            <w:left w:w="108" w:type="dxa"/>
            <w:bottom w:w="0" w:type="dxa"/>
            <w:right w:w="108" w:type="dxa"/>
          </w:tblCellMar>
        </w:tblPrEx>
        <w:trPr>
          <w:trHeight w:val="390"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25I000003</w:t>
            </w:r>
          </w:p>
        </w:tc>
        <w:tc>
          <w:tcPr>
            <w:tcW w:w="2712"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全球化进程中的中国与世界</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90"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25R000001</w:t>
            </w:r>
          </w:p>
        </w:tc>
        <w:tc>
          <w:tcPr>
            <w:tcW w:w="2712"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互联网与社会</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90"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25R000003</w:t>
            </w:r>
          </w:p>
        </w:tc>
        <w:tc>
          <w:tcPr>
            <w:tcW w:w="2712"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城市社区发展与基层治理</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社会学专业不建议选修。</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color w:val="auto"/>
                <w:kern w:val="0"/>
                <w:szCs w:val="21"/>
                <w:highlight w:val="none"/>
              </w:rPr>
            </w:pPr>
            <w:r>
              <w:rPr>
                <w:color w:val="auto"/>
                <w:kern w:val="0"/>
                <w:szCs w:val="21"/>
                <w:highlight w:val="none"/>
              </w:rPr>
              <w:t>25R000004</w:t>
            </w:r>
          </w:p>
        </w:tc>
        <w:tc>
          <w:tcPr>
            <w:tcW w:w="2712"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帝国与民族</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color w:val="auto"/>
                <w:kern w:val="0"/>
                <w:szCs w:val="21"/>
                <w:highlight w:val="none"/>
              </w:rPr>
            </w:pPr>
            <w:r>
              <w:rPr>
                <w:color w:val="auto"/>
                <w:kern w:val="0"/>
                <w:szCs w:val="21"/>
                <w:highlight w:val="none"/>
              </w:rPr>
              <w:t>25R000006</w:t>
            </w:r>
          </w:p>
        </w:tc>
        <w:tc>
          <w:tcPr>
            <w:tcW w:w="2712"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中东热点问题</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color w:val="auto"/>
                <w:kern w:val="0"/>
                <w:szCs w:val="21"/>
                <w:highlight w:val="none"/>
              </w:rPr>
            </w:pPr>
            <w:r>
              <w:rPr>
                <w:color w:val="auto"/>
                <w:kern w:val="0"/>
                <w:szCs w:val="21"/>
                <w:highlight w:val="none"/>
                <w:lang w:bidi="ar"/>
              </w:rPr>
              <w:t>25R000007</w:t>
            </w:r>
          </w:p>
        </w:tc>
        <w:tc>
          <w:tcPr>
            <w:tcW w:w="2712"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日本社会与文化</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政府管理学院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color w:val="auto"/>
                <w:kern w:val="0"/>
                <w:szCs w:val="21"/>
                <w:highlight w:val="none"/>
              </w:rPr>
            </w:pPr>
            <w:r>
              <w:rPr>
                <w:color w:val="auto"/>
                <w:kern w:val="0"/>
                <w:szCs w:val="21"/>
                <w:highlight w:val="none"/>
              </w:rPr>
              <w:t>25K000016</w:t>
            </w:r>
          </w:p>
        </w:tc>
        <w:tc>
          <w:tcPr>
            <w:tcW w:w="2712"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信息社会与互联网时代</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上海纪录片学院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25K000002</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大众文化与大众社会</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上海纪录片学院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25M000008</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新媒介素养</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上海纪录片学院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25M000015</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新概念写作</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上海纪录片学院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25M000017</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传媒与社会</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上海纪录片学院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25G000001</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管理科学与文化</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经济管理学院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25G000003</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汉字里的中国文化</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经济管理学院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25G000004</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经济学基本原理</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经济管理学院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25G000005</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世界经济的起源与变迁</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经济管理学院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25G000008</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世界经济概论</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经济管理学院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2019级国际经济与贸易专业不建议选修</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25G000006</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金融学概论</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经济管理学院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经济学、财务管理、经济与金融、税收学专业不建议选修</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25G000007</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创新创业基础</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经济管理学院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25G000009</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创业策划</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经济管理学院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25G000010</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珠宝鉴赏及营销</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经济管理学院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25G000011</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个人理财规划</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经济管理学院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25G000013</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大学生科技创新与竞赛指导</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经济管理学院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25G000014</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管理研究方法</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经济管理学院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25G000016</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创新创业素养与实践</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经济管理学院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25K000007</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文学与人生</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语言文化学院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25K000008</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演讲与口才</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语言文化学院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25K000009</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诗词鉴赏</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语言文化学院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25K000011</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国学与人生</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语言文化学院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25S000003</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olor w:val="auto"/>
                <w:kern w:val="0"/>
                <w:szCs w:val="21"/>
                <w:highlight w:val="none"/>
              </w:rPr>
              <w:t>《论语》导读</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语言文化学院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25K000017</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《红楼梦》与中华文化</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语言文化学院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25S000001</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中西传统节日文化赏析</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上合组织基地</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25S000006</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走近莎士比亚</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语言文化学院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25S000007</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语言与社会</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语言文化学院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25S000008</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中外经典战役解析</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语言文化学院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25F000002</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大国安全</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马克思主义学院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49"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000000"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25F000007</w:t>
            </w:r>
          </w:p>
        </w:tc>
        <w:tc>
          <w:tcPr>
            <w:tcW w:w="2712"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励志中国</w:t>
            </w:r>
          </w:p>
        </w:tc>
        <w:tc>
          <w:tcPr>
            <w:tcW w:w="643" w:type="dxa"/>
            <w:tcBorders>
              <w:top w:val="single" w:color="auto" w:sz="4" w:space="0"/>
              <w:left w:val="single" w:color="auto" w:sz="4" w:space="0"/>
              <w:bottom w:val="single" w:color="000000"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马克思主义学院</w:t>
            </w:r>
          </w:p>
        </w:tc>
        <w:tc>
          <w:tcPr>
            <w:tcW w:w="2200"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49"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000000"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25F000001</w:t>
            </w:r>
          </w:p>
        </w:tc>
        <w:tc>
          <w:tcPr>
            <w:tcW w:w="2712"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西方哲学智慧</w:t>
            </w:r>
          </w:p>
        </w:tc>
        <w:tc>
          <w:tcPr>
            <w:tcW w:w="643" w:type="dxa"/>
            <w:tcBorders>
              <w:top w:val="single" w:color="auto" w:sz="4" w:space="0"/>
              <w:left w:val="single" w:color="auto" w:sz="4" w:space="0"/>
              <w:bottom w:val="single" w:color="000000"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马克思主义学院</w:t>
            </w:r>
          </w:p>
        </w:tc>
        <w:tc>
          <w:tcPr>
            <w:tcW w:w="2200"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49"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000000"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25F000003</w:t>
            </w:r>
          </w:p>
        </w:tc>
        <w:tc>
          <w:tcPr>
            <w:tcW w:w="2712"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国学经典著作导读</w:t>
            </w:r>
          </w:p>
        </w:tc>
        <w:tc>
          <w:tcPr>
            <w:tcW w:w="643" w:type="dxa"/>
            <w:tcBorders>
              <w:top w:val="single" w:color="auto" w:sz="4" w:space="0"/>
              <w:left w:val="single" w:color="auto" w:sz="4" w:space="0"/>
              <w:bottom w:val="single" w:color="000000"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马克思主义学院</w:t>
            </w:r>
          </w:p>
        </w:tc>
        <w:tc>
          <w:tcPr>
            <w:tcW w:w="2200"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49"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000000"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25F000004</w:t>
            </w:r>
          </w:p>
        </w:tc>
        <w:tc>
          <w:tcPr>
            <w:tcW w:w="2712"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中国共产党的历史、现实与未来</w:t>
            </w:r>
          </w:p>
        </w:tc>
        <w:tc>
          <w:tcPr>
            <w:tcW w:w="643" w:type="dxa"/>
            <w:tcBorders>
              <w:top w:val="single" w:color="auto" w:sz="4" w:space="0"/>
              <w:left w:val="single" w:color="auto" w:sz="4" w:space="0"/>
              <w:bottom w:val="single" w:color="000000"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ascii="宋体" w:hAnsi="宋体"/>
                <w:color w:val="auto"/>
                <w:szCs w:val="21"/>
                <w:highlight w:val="none"/>
              </w:rPr>
              <w:t>2</w:t>
            </w:r>
          </w:p>
        </w:tc>
        <w:tc>
          <w:tcPr>
            <w:tcW w:w="1564"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马克思主义学院</w:t>
            </w:r>
          </w:p>
        </w:tc>
        <w:tc>
          <w:tcPr>
            <w:tcW w:w="2200"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49"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000000"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25F000008</w:t>
            </w:r>
          </w:p>
        </w:tc>
        <w:tc>
          <w:tcPr>
            <w:tcW w:w="2712"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left"/>
              <w:rPr>
                <w:rFonts w:hint="eastAsia" w:ascii="宋体" w:hAnsi="宋体"/>
                <w:color w:val="auto"/>
                <w:szCs w:val="21"/>
                <w:highlight w:val="none"/>
              </w:rPr>
            </w:pPr>
            <w:r>
              <w:rPr>
                <w:rFonts w:hint="eastAsia" w:ascii="宋体" w:hAnsi="宋体"/>
                <w:color w:val="auto"/>
                <w:szCs w:val="21"/>
                <w:highlight w:val="none"/>
              </w:rPr>
              <w:t>大国工匠与中国制造</w:t>
            </w:r>
          </w:p>
        </w:tc>
        <w:tc>
          <w:tcPr>
            <w:tcW w:w="643" w:type="dxa"/>
            <w:tcBorders>
              <w:top w:val="single" w:color="auto" w:sz="4" w:space="0"/>
              <w:left w:val="single" w:color="auto" w:sz="4" w:space="0"/>
              <w:bottom w:val="single" w:color="000000"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马克思主义学院</w:t>
            </w:r>
          </w:p>
        </w:tc>
        <w:tc>
          <w:tcPr>
            <w:tcW w:w="2200"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49"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25F000010</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中国青年运动史</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马克思主义学院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olor w:val="auto"/>
                <w:szCs w:val="21"/>
                <w:highlight w:val="none"/>
              </w:rPr>
            </w:pPr>
          </w:p>
        </w:tc>
      </w:tr>
      <w:tr>
        <w:tblPrEx>
          <w:tblCellMar>
            <w:top w:w="0" w:type="dxa"/>
            <w:left w:w="108" w:type="dxa"/>
            <w:bottom w:w="0" w:type="dxa"/>
            <w:right w:w="108" w:type="dxa"/>
          </w:tblCellMar>
        </w:tblPrEx>
        <w:trPr>
          <w:trHeight w:val="349"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lang w:bidi="ar"/>
              </w:rPr>
              <w:t>25F000013</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道家人生智慧</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马克思主义学院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olor w:val="auto"/>
                <w:szCs w:val="21"/>
                <w:highlight w:val="none"/>
              </w:rPr>
            </w:pPr>
          </w:p>
        </w:tc>
      </w:tr>
      <w:tr>
        <w:tblPrEx>
          <w:tblCellMar>
            <w:top w:w="0" w:type="dxa"/>
            <w:left w:w="108" w:type="dxa"/>
            <w:bottom w:w="0" w:type="dxa"/>
            <w:right w:w="108" w:type="dxa"/>
          </w:tblCellMar>
        </w:tblPrEx>
        <w:trPr>
          <w:trHeight w:val="349"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000000"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25U000002</w:t>
            </w:r>
          </w:p>
        </w:tc>
        <w:tc>
          <w:tcPr>
            <w:tcW w:w="2712"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地缘经济学概论</w:t>
            </w:r>
          </w:p>
        </w:tc>
        <w:tc>
          <w:tcPr>
            <w:tcW w:w="643" w:type="dxa"/>
            <w:tcBorders>
              <w:top w:val="single" w:color="auto" w:sz="4" w:space="0"/>
              <w:left w:val="single" w:color="auto" w:sz="4" w:space="0"/>
              <w:bottom w:val="single" w:color="000000"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olor w:val="auto"/>
                <w:szCs w:val="21"/>
                <w:highlight w:val="none"/>
              </w:rPr>
            </w:pPr>
            <w:r>
              <w:rPr>
                <w:rFonts w:hint="eastAsia" w:ascii="宋体" w:hAnsi="宋体" w:cs="宋体"/>
                <w:color w:val="auto"/>
                <w:kern w:val="0"/>
                <w:szCs w:val="21"/>
                <w:highlight w:val="none"/>
              </w:rPr>
              <w:t>上合组织基地</w:t>
            </w:r>
          </w:p>
        </w:tc>
        <w:tc>
          <w:tcPr>
            <w:tcW w:w="2200"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jc w:val="left"/>
              <w:rPr>
                <w:rFonts w:ascii="宋体" w:hAnsi="宋体"/>
                <w:color w:val="auto"/>
                <w:szCs w:val="21"/>
                <w:highlight w:val="none"/>
              </w:rPr>
            </w:pPr>
          </w:p>
        </w:tc>
      </w:tr>
      <w:tr>
        <w:tblPrEx>
          <w:tblCellMar>
            <w:top w:w="0" w:type="dxa"/>
            <w:left w:w="108" w:type="dxa"/>
            <w:bottom w:w="0" w:type="dxa"/>
            <w:right w:w="108" w:type="dxa"/>
          </w:tblCellMar>
        </w:tblPrEx>
        <w:trPr>
          <w:trHeight w:val="349"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000000"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25U000004</w:t>
            </w:r>
          </w:p>
        </w:tc>
        <w:tc>
          <w:tcPr>
            <w:tcW w:w="2712"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上合组织地区经济与合作</w:t>
            </w:r>
          </w:p>
        </w:tc>
        <w:tc>
          <w:tcPr>
            <w:tcW w:w="643" w:type="dxa"/>
            <w:tcBorders>
              <w:top w:val="single" w:color="auto" w:sz="4" w:space="0"/>
              <w:left w:val="single" w:color="auto" w:sz="4" w:space="0"/>
              <w:bottom w:val="single" w:color="000000"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olor w:val="auto"/>
                <w:szCs w:val="21"/>
                <w:highlight w:val="none"/>
              </w:rPr>
            </w:pPr>
            <w:r>
              <w:rPr>
                <w:rFonts w:hint="eastAsia" w:ascii="宋体" w:hAnsi="宋体" w:cs="宋体"/>
                <w:color w:val="auto"/>
                <w:kern w:val="0"/>
                <w:szCs w:val="21"/>
                <w:highlight w:val="none"/>
              </w:rPr>
              <w:t>上合组织基地</w:t>
            </w:r>
          </w:p>
        </w:tc>
        <w:tc>
          <w:tcPr>
            <w:tcW w:w="2200"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jc w:val="left"/>
              <w:rPr>
                <w:rFonts w:ascii="宋体" w:hAnsi="宋体"/>
                <w:color w:val="auto"/>
                <w:szCs w:val="21"/>
                <w:highlight w:val="none"/>
              </w:rPr>
            </w:pPr>
          </w:p>
        </w:tc>
      </w:tr>
      <w:tr>
        <w:tblPrEx>
          <w:tblCellMar>
            <w:top w:w="0" w:type="dxa"/>
            <w:left w:w="108" w:type="dxa"/>
            <w:bottom w:w="0" w:type="dxa"/>
            <w:right w:w="108" w:type="dxa"/>
          </w:tblCellMar>
        </w:tblPrEx>
        <w:trPr>
          <w:trHeight w:val="349"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000000"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25U000005</w:t>
            </w:r>
          </w:p>
        </w:tc>
        <w:tc>
          <w:tcPr>
            <w:tcW w:w="2712"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恐怖主义概论</w:t>
            </w:r>
          </w:p>
        </w:tc>
        <w:tc>
          <w:tcPr>
            <w:tcW w:w="643" w:type="dxa"/>
            <w:tcBorders>
              <w:top w:val="single" w:color="auto" w:sz="4" w:space="0"/>
              <w:left w:val="single" w:color="auto" w:sz="4" w:space="0"/>
              <w:bottom w:val="single" w:color="000000"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olor w:val="auto"/>
                <w:szCs w:val="21"/>
                <w:highlight w:val="none"/>
              </w:rPr>
            </w:pPr>
            <w:r>
              <w:rPr>
                <w:rFonts w:hint="eastAsia" w:ascii="宋体" w:hAnsi="宋体" w:cs="宋体"/>
                <w:color w:val="auto"/>
                <w:kern w:val="0"/>
                <w:szCs w:val="21"/>
                <w:highlight w:val="none"/>
              </w:rPr>
              <w:t>上合组织基地</w:t>
            </w:r>
          </w:p>
        </w:tc>
        <w:tc>
          <w:tcPr>
            <w:tcW w:w="2200"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jc w:val="left"/>
              <w:rPr>
                <w:rFonts w:ascii="宋体" w:hAnsi="宋体"/>
                <w:color w:val="auto"/>
                <w:szCs w:val="21"/>
                <w:highlight w:val="none"/>
              </w:rPr>
            </w:pPr>
          </w:p>
        </w:tc>
      </w:tr>
      <w:tr>
        <w:tblPrEx>
          <w:tblCellMar>
            <w:top w:w="0" w:type="dxa"/>
            <w:left w:w="108" w:type="dxa"/>
            <w:bottom w:w="0" w:type="dxa"/>
            <w:right w:w="108" w:type="dxa"/>
          </w:tblCellMar>
        </w:tblPrEx>
        <w:trPr>
          <w:trHeight w:val="349"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000000"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25U000006</w:t>
            </w:r>
          </w:p>
        </w:tc>
        <w:tc>
          <w:tcPr>
            <w:tcW w:w="2712"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朝鲜半岛问题研究</w:t>
            </w:r>
          </w:p>
        </w:tc>
        <w:tc>
          <w:tcPr>
            <w:tcW w:w="643" w:type="dxa"/>
            <w:tcBorders>
              <w:top w:val="single" w:color="auto" w:sz="4" w:space="0"/>
              <w:left w:val="single" w:color="auto" w:sz="4" w:space="0"/>
              <w:bottom w:val="single" w:color="000000"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olor w:val="auto"/>
                <w:szCs w:val="21"/>
                <w:highlight w:val="none"/>
              </w:rPr>
            </w:pPr>
            <w:r>
              <w:rPr>
                <w:rFonts w:hint="eastAsia" w:ascii="宋体" w:hAnsi="宋体" w:cs="宋体"/>
                <w:color w:val="auto"/>
                <w:kern w:val="0"/>
                <w:szCs w:val="21"/>
                <w:highlight w:val="none"/>
              </w:rPr>
              <w:t>上合组织基地</w:t>
            </w:r>
          </w:p>
        </w:tc>
        <w:tc>
          <w:tcPr>
            <w:tcW w:w="2200"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jc w:val="left"/>
              <w:rPr>
                <w:rFonts w:ascii="宋体" w:hAnsi="宋体"/>
                <w:color w:val="auto"/>
                <w:szCs w:val="21"/>
                <w:highlight w:val="none"/>
              </w:rPr>
            </w:pPr>
          </w:p>
        </w:tc>
      </w:tr>
      <w:tr>
        <w:tblPrEx>
          <w:tblCellMar>
            <w:top w:w="0" w:type="dxa"/>
            <w:left w:w="108" w:type="dxa"/>
            <w:bottom w:w="0" w:type="dxa"/>
            <w:right w:w="108" w:type="dxa"/>
          </w:tblCellMar>
        </w:tblPrEx>
        <w:trPr>
          <w:trHeight w:val="349"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000000"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25U000007</w:t>
            </w:r>
          </w:p>
        </w:tc>
        <w:tc>
          <w:tcPr>
            <w:tcW w:w="2712"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基督教与西方文化</w:t>
            </w:r>
          </w:p>
        </w:tc>
        <w:tc>
          <w:tcPr>
            <w:tcW w:w="643" w:type="dxa"/>
            <w:tcBorders>
              <w:top w:val="single" w:color="auto" w:sz="4" w:space="0"/>
              <w:left w:val="single" w:color="auto" w:sz="4" w:space="0"/>
              <w:bottom w:val="single" w:color="000000"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上合组织基地</w:t>
            </w:r>
          </w:p>
        </w:tc>
        <w:tc>
          <w:tcPr>
            <w:tcW w:w="2200"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jc w:val="left"/>
              <w:rPr>
                <w:rFonts w:ascii="宋体" w:hAnsi="宋体"/>
                <w:color w:val="auto"/>
                <w:szCs w:val="21"/>
                <w:highlight w:val="none"/>
              </w:rPr>
            </w:pPr>
          </w:p>
        </w:tc>
      </w:tr>
      <w:tr>
        <w:tblPrEx>
          <w:tblCellMar>
            <w:top w:w="0" w:type="dxa"/>
            <w:left w:w="108" w:type="dxa"/>
            <w:bottom w:w="0" w:type="dxa"/>
            <w:right w:w="108" w:type="dxa"/>
          </w:tblCellMar>
        </w:tblPrEx>
        <w:trPr>
          <w:trHeight w:val="349"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000000"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25U000010</w:t>
            </w:r>
          </w:p>
        </w:tc>
        <w:tc>
          <w:tcPr>
            <w:tcW w:w="2712"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上合组织国家文化研究</w:t>
            </w:r>
          </w:p>
        </w:tc>
        <w:tc>
          <w:tcPr>
            <w:tcW w:w="643" w:type="dxa"/>
            <w:tcBorders>
              <w:top w:val="single" w:color="auto" w:sz="4" w:space="0"/>
              <w:left w:val="single" w:color="auto" w:sz="4" w:space="0"/>
              <w:bottom w:val="single" w:color="000000"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olor w:val="auto"/>
                <w:szCs w:val="21"/>
                <w:highlight w:val="none"/>
              </w:rPr>
            </w:pPr>
            <w:r>
              <w:rPr>
                <w:rFonts w:hint="eastAsia" w:ascii="宋体" w:hAnsi="宋体" w:cs="宋体"/>
                <w:color w:val="auto"/>
                <w:kern w:val="0"/>
                <w:szCs w:val="21"/>
                <w:highlight w:val="none"/>
              </w:rPr>
              <w:t>上合组织基地</w:t>
            </w:r>
          </w:p>
        </w:tc>
        <w:tc>
          <w:tcPr>
            <w:tcW w:w="2200"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jc w:val="left"/>
              <w:rPr>
                <w:rFonts w:ascii="宋体" w:hAnsi="宋体"/>
                <w:color w:val="auto"/>
                <w:szCs w:val="21"/>
                <w:highlight w:val="none"/>
              </w:rPr>
            </w:pPr>
          </w:p>
        </w:tc>
      </w:tr>
      <w:tr>
        <w:tblPrEx>
          <w:tblCellMar>
            <w:top w:w="0" w:type="dxa"/>
            <w:left w:w="108" w:type="dxa"/>
            <w:bottom w:w="0" w:type="dxa"/>
            <w:right w:w="108" w:type="dxa"/>
          </w:tblCellMar>
        </w:tblPrEx>
        <w:trPr>
          <w:trHeight w:val="349"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000000"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25U000011</w:t>
            </w:r>
          </w:p>
        </w:tc>
        <w:tc>
          <w:tcPr>
            <w:tcW w:w="2712"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法语语言文化概论</w:t>
            </w:r>
          </w:p>
        </w:tc>
        <w:tc>
          <w:tcPr>
            <w:tcW w:w="643" w:type="dxa"/>
            <w:tcBorders>
              <w:top w:val="single" w:color="auto" w:sz="4" w:space="0"/>
              <w:left w:val="single" w:color="auto" w:sz="4" w:space="0"/>
              <w:bottom w:val="single" w:color="000000"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eastAsia="宋体"/>
                <w:color w:val="auto"/>
                <w:szCs w:val="21"/>
                <w:highlight w:val="none"/>
                <w:lang w:eastAsia="zh-CN"/>
              </w:rPr>
            </w:pPr>
            <w:r>
              <w:rPr>
                <w:rFonts w:hint="eastAsia" w:ascii="宋体" w:hAnsi="宋体" w:cs="宋体"/>
                <w:color w:val="auto"/>
                <w:kern w:val="0"/>
                <w:szCs w:val="21"/>
                <w:highlight w:val="none"/>
                <w:lang w:val="en-US" w:eastAsia="zh-CN"/>
              </w:rPr>
              <w:t>国际法学院</w:t>
            </w:r>
          </w:p>
        </w:tc>
        <w:tc>
          <w:tcPr>
            <w:tcW w:w="2200"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jc w:val="left"/>
              <w:rPr>
                <w:rFonts w:ascii="宋体" w:hAnsi="宋体"/>
                <w:color w:val="auto"/>
                <w:szCs w:val="21"/>
                <w:highlight w:val="none"/>
              </w:rPr>
            </w:pPr>
          </w:p>
        </w:tc>
      </w:tr>
      <w:tr>
        <w:tblPrEx>
          <w:tblCellMar>
            <w:top w:w="0" w:type="dxa"/>
            <w:left w:w="108" w:type="dxa"/>
            <w:bottom w:w="0" w:type="dxa"/>
            <w:right w:w="108" w:type="dxa"/>
          </w:tblCellMar>
        </w:tblPrEx>
        <w:trPr>
          <w:trHeight w:val="349"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highlight w:val="none"/>
              </w:rPr>
            </w:pPr>
          </w:p>
        </w:tc>
        <w:tc>
          <w:tcPr>
            <w:tcW w:w="1323" w:type="dxa"/>
            <w:tcBorders>
              <w:top w:val="single" w:color="auto" w:sz="4" w:space="0"/>
              <w:left w:val="nil"/>
              <w:bottom w:val="single" w:color="000000"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25U000016</w:t>
            </w:r>
          </w:p>
        </w:tc>
        <w:tc>
          <w:tcPr>
            <w:tcW w:w="2712"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上海对外开放史</w:t>
            </w:r>
          </w:p>
        </w:tc>
        <w:tc>
          <w:tcPr>
            <w:tcW w:w="643" w:type="dxa"/>
            <w:tcBorders>
              <w:top w:val="single" w:color="auto" w:sz="4" w:space="0"/>
              <w:left w:val="single" w:color="auto" w:sz="4" w:space="0"/>
              <w:bottom w:val="single" w:color="000000"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宋体" w:hAnsi="宋体"/>
                <w:color w:val="auto"/>
                <w:szCs w:val="21"/>
                <w:highlight w:val="none"/>
              </w:rPr>
            </w:pPr>
            <w:r>
              <w:rPr>
                <w:rFonts w:hint="eastAsia" w:ascii="宋体" w:hAnsi="宋体" w:cs="宋体"/>
                <w:color w:val="auto"/>
                <w:kern w:val="0"/>
                <w:szCs w:val="21"/>
                <w:highlight w:val="none"/>
              </w:rPr>
              <w:t>上合组织基地</w:t>
            </w:r>
          </w:p>
        </w:tc>
        <w:tc>
          <w:tcPr>
            <w:tcW w:w="2200"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jc w:val="left"/>
              <w:rPr>
                <w:rFonts w:ascii="宋体" w:hAnsi="宋体"/>
                <w:color w:val="auto"/>
                <w:szCs w:val="21"/>
                <w:highlight w:val="none"/>
              </w:rPr>
            </w:pPr>
          </w:p>
        </w:tc>
      </w:tr>
      <w:tr>
        <w:tblPrEx>
          <w:tblCellMar>
            <w:top w:w="0" w:type="dxa"/>
            <w:left w:w="108" w:type="dxa"/>
            <w:bottom w:w="0" w:type="dxa"/>
            <w:right w:w="108" w:type="dxa"/>
          </w:tblCellMar>
        </w:tblPrEx>
        <w:trPr>
          <w:trHeight w:val="351" w:hRule="atLeast"/>
          <w:jc w:val="center"/>
        </w:trPr>
        <w:tc>
          <w:tcPr>
            <w:tcW w:w="862" w:type="dxa"/>
            <w:vMerge w:val="continue"/>
            <w:tcBorders>
              <w:left w:val="single" w:color="auto" w:sz="4" w:space="0"/>
              <w:right w:val="single" w:color="auto" w:sz="4" w:space="0"/>
            </w:tcBorders>
            <w:shd w:val="clear" w:color="auto" w:fill="FFFFFF"/>
            <w:noWrap w:val="0"/>
            <w:textDirection w:val="tbRlV"/>
            <w:vAlign w:val="center"/>
          </w:tcPr>
          <w:p>
            <w:pPr>
              <w:widowControl/>
              <w:jc w:val="center"/>
              <w:rPr>
                <w:rFonts w:hint="eastAsia" w:ascii="宋体" w:hAnsi="宋体" w:cs="宋体"/>
                <w:b/>
                <w:color w:val="auto"/>
                <w:kern w:val="0"/>
                <w:szCs w:val="21"/>
                <w:highlight w:val="none"/>
              </w:rPr>
            </w:pPr>
          </w:p>
        </w:tc>
        <w:tc>
          <w:tcPr>
            <w:tcW w:w="1323" w:type="dxa"/>
            <w:tcBorders>
              <w:top w:val="single" w:color="000000"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25U000019</w:t>
            </w:r>
          </w:p>
        </w:tc>
        <w:tc>
          <w:tcPr>
            <w:tcW w:w="2712"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中俄关系</w:t>
            </w:r>
          </w:p>
        </w:tc>
        <w:tc>
          <w:tcPr>
            <w:tcW w:w="643" w:type="dxa"/>
            <w:tcBorders>
              <w:top w:val="single" w:color="000000"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上合组织基地</w:t>
            </w:r>
          </w:p>
        </w:tc>
        <w:tc>
          <w:tcPr>
            <w:tcW w:w="2200"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51" w:hRule="atLeast"/>
          <w:jc w:val="center"/>
        </w:trPr>
        <w:tc>
          <w:tcPr>
            <w:tcW w:w="862" w:type="dxa"/>
            <w:vMerge w:val="continue"/>
            <w:tcBorders>
              <w:left w:val="single" w:color="auto" w:sz="4" w:space="0"/>
              <w:right w:val="single" w:color="auto" w:sz="4" w:space="0"/>
            </w:tcBorders>
            <w:shd w:val="clear" w:color="auto" w:fill="FFFFFF"/>
            <w:noWrap w:val="0"/>
            <w:textDirection w:val="tbRlV"/>
            <w:vAlign w:val="center"/>
          </w:tcPr>
          <w:p>
            <w:pPr>
              <w:widowControl/>
              <w:jc w:val="center"/>
              <w:rPr>
                <w:rFonts w:hint="eastAsia" w:ascii="宋体" w:hAnsi="宋体" w:cs="宋体"/>
                <w:b/>
                <w:color w:val="auto"/>
                <w:kern w:val="0"/>
                <w:szCs w:val="21"/>
                <w:highlight w:val="none"/>
              </w:rPr>
            </w:pPr>
          </w:p>
        </w:tc>
        <w:tc>
          <w:tcPr>
            <w:tcW w:w="1323" w:type="dxa"/>
            <w:tcBorders>
              <w:top w:val="single" w:color="000000"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25U000021</w:t>
            </w:r>
          </w:p>
        </w:tc>
        <w:tc>
          <w:tcPr>
            <w:tcW w:w="2712"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全球核问题研究</w:t>
            </w:r>
          </w:p>
        </w:tc>
        <w:tc>
          <w:tcPr>
            <w:tcW w:w="643" w:type="dxa"/>
            <w:tcBorders>
              <w:top w:val="single" w:color="000000"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上合组织基地</w:t>
            </w:r>
          </w:p>
        </w:tc>
        <w:tc>
          <w:tcPr>
            <w:tcW w:w="2200"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51" w:hRule="atLeast"/>
          <w:jc w:val="center"/>
        </w:trPr>
        <w:tc>
          <w:tcPr>
            <w:tcW w:w="862" w:type="dxa"/>
            <w:vMerge w:val="continue"/>
            <w:tcBorders>
              <w:left w:val="single" w:color="auto" w:sz="4" w:space="0"/>
              <w:right w:val="single" w:color="auto" w:sz="4" w:space="0"/>
            </w:tcBorders>
            <w:shd w:val="clear" w:color="auto" w:fill="FFFFFF"/>
            <w:noWrap w:val="0"/>
            <w:textDirection w:val="tbRlV"/>
            <w:vAlign w:val="center"/>
          </w:tcPr>
          <w:p>
            <w:pPr>
              <w:widowControl/>
              <w:jc w:val="center"/>
              <w:rPr>
                <w:rFonts w:hint="eastAsia" w:ascii="宋体" w:hAnsi="宋体" w:cs="宋体"/>
                <w:b/>
                <w:color w:val="auto"/>
                <w:kern w:val="0"/>
                <w:szCs w:val="21"/>
                <w:highlight w:val="none"/>
              </w:rPr>
            </w:pPr>
          </w:p>
        </w:tc>
        <w:tc>
          <w:tcPr>
            <w:tcW w:w="1323" w:type="dxa"/>
            <w:tcBorders>
              <w:top w:val="single" w:color="000000"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25U000023</w:t>
            </w:r>
          </w:p>
        </w:tc>
        <w:tc>
          <w:tcPr>
            <w:tcW w:w="2712"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当代国际热点</w:t>
            </w:r>
          </w:p>
        </w:tc>
        <w:tc>
          <w:tcPr>
            <w:tcW w:w="643" w:type="dxa"/>
            <w:tcBorders>
              <w:top w:val="single" w:color="000000"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上合组织基地</w:t>
            </w:r>
          </w:p>
        </w:tc>
        <w:tc>
          <w:tcPr>
            <w:tcW w:w="2200"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51" w:hRule="atLeast"/>
          <w:jc w:val="center"/>
        </w:trPr>
        <w:tc>
          <w:tcPr>
            <w:tcW w:w="862" w:type="dxa"/>
            <w:vMerge w:val="continue"/>
            <w:tcBorders>
              <w:left w:val="single" w:color="auto" w:sz="4" w:space="0"/>
              <w:right w:val="single" w:color="auto" w:sz="4" w:space="0"/>
            </w:tcBorders>
            <w:shd w:val="clear" w:color="auto" w:fill="FFFFFF"/>
            <w:noWrap w:val="0"/>
            <w:textDirection w:val="tbRlV"/>
            <w:vAlign w:val="center"/>
          </w:tcPr>
          <w:p>
            <w:pPr>
              <w:widowControl/>
              <w:jc w:val="center"/>
              <w:rPr>
                <w:rFonts w:hint="eastAsia" w:ascii="宋体" w:hAnsi="宋体" w:cs="宋体"/>
                <w:b/>
                <w:color w:val="auto"/>
                <w:kern w:val="0"/>
                <w:szCs w:val="21"/>
                <w:highlight w:val="none"/>
              </w:rPr>
            </w:pPr>
          </w:p>
        </w:tc>
        <w:tc>
          <w:tcPr>
            <w:tcW w:w="1323" w:type="dxa"/>
            <w:tcBorders>
              <w:top w:val="single" w:color="000000"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25U000024</w:t>
            </w:r>
          </w:p>
        </w:tc>
        <w:tc>
          <w:tcPr>
            <w:tcW w:w="2712"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股票与投资</w:t>
            </w:r>
          </w:p>
        </w:tc>
        <w:tc>
          <w:tcPr>
            <w:tcW w:w="643" w:type="dxa"/>
            <w:tcBorders>
              <w:top w:val="single" w:color="000000"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上合组织基地</w:t>
            </w:r>
          </w:p>
        </w:tc>
        <w:tc>
          <w:tcPr>
            <w:tcW w:w="2200"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51" w:hRule="atLeast"/>
          <w:jc w:val="center"/>
        </w:trPr>
        <w:tc>
          <w:tcPr>
            <w:tcW w:w="862" w:type="dxa"/>
            <w:vMerge w:val="restart"/>
            <w:tcBorders>
              <w:left w:val="single" w:color="auto" w:sz="4" w:space="0"/>
              <w:right w:val="single" w:color="auto" w:sz="4" w:space="0"/>
            </w:tcBorders>
            <w:shd w:val="clear" w:color="auto" w:fill="FFFFFF"/>
            <w:noWrap w:val="0"/>
            <w:textDirection w:val="tbRlV"/>
            <w:vAlign w:val="center"/>
          </w:tcPr>
          <w:p>
            <w:pPr>
              <w:ind w:left="113" w:right="113"/>
              <w:jc w:val="center"/>
              <w:rPr>
                <w:rFonts w:ascii="宋体" w:hAnsi="宋体" w:cs="宋体"/>
                <w:b/>
                <w:color w:val="auto"/>
                <w:kern w:val="0"/>
                <w:szCs w:val="21"/>
                <w:highlight w:val="none"/>
              </w:rPr>
            </w:pPr>
          </w:p>
          <w:p>
            <w:pPr>
              <w:ind w:left="113" w:right="113"/>
              <w:jc w:val="center"/>
              <w:rPr>
                <w:rFonts w:ascii="宋体" w:hAnsi="宋体" w:cs="宋体"/>
                <w:b/>
                <w:color w:val="auto"/>
                <w:kern w:val="0"/>
                <w:szCs w:val="21"/>
                <w:highlight w:val="none"/>
              </w:rPr>
            </w:pPr>
          </w:p>
        </w:tc>
        <w:tc>
          <w:tcPr>
            <w:tcW w:w="1323" w:type="dxa"/>
            <w:tcBorders>
              <w:top w:val="single" w:color="000000" w:sz="4" w:space="0"/>
              <w:left w:val="nil"/>
              <w:bottom w:val="single" w:color="auto" w:sz="4" w:space="0"/>
              <w:right w:val="single" w:color="000000" w:sz="4" w:space="0"/>
            </w:tcBorders>
            <w:shd w:val="clear" w:color="auto" w:fill="FFFFFF"/>
            <w:noWrap/>
            <w:vAlign w:val="center"/>
          </w:tcPr>
          <w:p>
            <w:pPr>
              <w:widowControl/>
              <w:jc w:val="center"/>
              <w:rPr>
                <w:rFonts w:hint="default" w:eastAsia="宋体"/>
                <w:color w:val="auto"/>
                <w:kern w:val="0"/>
                <w:szCs w:val="21"/>
                <w:highlight w:val="none"/>
                <w:lang w:val="en-US" w:eastAsia="zh-CN"/>
              </w:rPr>
            </w:pPr>
            <w:r>
              <w:rPr>
                <w:color w:val="auto"/>
                <w:kern w:val="0"/>
                <w:szCs w:val="21"/>
                <w:highlight w:val="none"/>
              </w:rPr>
              <w:t>25U0000</w:t>
            </w:r>
            <w:r>
              <w:rPr>
                <w:rFonts w:hint="eastAsia"/>
                <w:color w:val="auto"/>
                <w:kern w:val="0"/>
                <w:szCs w:val="21"/>
                <w:highlight w:val="none"/>
                <w:lang w:val="en-US" w:eastAsia="zh-CN"/>
              </w:rPr>
              <w:t>28</w:t>
            </w:r>
          </w:p>
        </w:tc>
        <w:tc>
          <w:tcPr>
            <w:tcW w:w="2712"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韩国语言文化概论</w:t>
            </w:r>
          </w:p>
        </w:tc>
        <w:tc>
          <w:tcPr>
            <w:tcW w:w="643" w:type="dxa"/>
            <w:tcBorders>
              <w:top w:val="single" w:color="000000"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上合组织基地</w:t>
            </w:r>
          </w:p>
        </w:tc>
        <w:tc>
          <w:tcPr>
            <w:tcW w:w="2200"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51" w:hRule="atLeast"/>
          <w:jc w:val="center"/>
        </w:trPr>
        <w:tc>
          <w:tcPr>
            <w:tcW w:w="862" w:type="dxa"/>
            <w:vMerge w:val="continue"/>
            <w:tcBorders>
              <w:left w:val="single" w:color="auto" w:sz="4" w:space="0"/>
              <w:right w:val="single" w:color="auto" w:sz="4" w:space="0"/>
            </w:tcBorders>
            <w:shd w:val="clear" w:color="auto" w:fill="FFFFFF"/>
            <w:noWrap w:val="0"/>
            <w:textDirection w:val="tbRlV"/>
            <w:vAlign w:val="center"/>
          </w:tcPr>
          <w:p>
            <w:pPr>
              <w:widowControl/>
              <w:jc w:val="center"/>
              <w:rPr>
                <w:rFonts w:hint="eastAsia" w:ascii="宋体" w:hAnsi="宋体" w:cs="宋体"/>
                <w:b/>
                <w:color w:val="auto"/>
                <w:kern w:val="0"/>
                <w:szCs w:val="21"/>
                <w:highlight w:val="none"/>
              </w:rPr>
            </w:pPr>
          </w:p>
        </w:tc>
        <w:tc>
          <w:tcPr>
            <w:tcW w:w="1323" w:type="dxa"/>
            <w:tcBorders>
              <w:top w:val="single" w:color="000000"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25U000032</w:t>
            </w:r>
          </w:p>
        </w:tc>
        <w:tc>
          <w:tcPr>
            <w:tcW w:w="2712"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全球治理中的中国与联合国</w:t>
            </w:r>
          </w:p>
        </w:tc>
        <w:tc>
          <w:tcPr>
            <w:tcW w:w="643" w:type="dxa"/>
            <w:tcBorders>
              <w:top w:val="single" w:color="000000"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上合组织基地</w:t>
            </w:r>
          </w:p>
        </w:tc>
        <w:tc>
          <w:tcPr>
            <w:tcW w:w="2200"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51" w:hRule="atLeast"/>
          <w:jc w:val="center"/>
        </w:trPr>
        <w:tc>
          <w:tcPr>
            <w:tcW w:w="862" w:type="dxa"/>
            <w:vMerge w:val="continue"/>
            <w:tcBorders>
              <w:left w:val="single" w:color="auto" w:sz="4" w:space="0"/>
              <w:right w:val="single" w:color="auto" w:sz="4" w:space="0"/>
            </w:tcBorders>
            <w:shd w:val="clear" w:color="auto" w:fill="FFFFFF"/>
            <w:noWrap w:val="0"/>
            <w:textDirection w:val="tbRlV"/>
            <w:vAlign w:val="center"/>
          </w:tcPr>
          <w:p>
            <w:pPr>
              <w:widowControl/>
              <w:jc w:val="center"/>
              <w:rPr>
                <w:rFonts w:hint="eastAsia" w:ascii="宋体" w:hAnsi="宋体" w:cs="宋体"/>
                <w:b/>
                <w:color w:val="auto"/>
                <w:kern w:val="0"/>
                <w:szCs w:val="21"/>
                <w:highlight w:val="none"/>
              </w:rPr>
            </w:pPr>
          </w:p>
        </w:tc>
        <w:tc>
          <w:tcPr>
            <w:tcW w:w="1323" w:type="dxa"/>
            <w:tcBorders>
              <w:top w:val="single" w:color="000000"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25U000033</w:t>
            </w:r>
          </w:p>
        </w:tc>
        <w:tc>
          <w:tcPr>
            <w:tcW w:w="2712"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德语初级进阶</w:t>
            </w:r>
          </w:p>
        </w:tc>
        <w:tc>
          <w:tcPr>
            <w:tcW w:w="643" w:type="dxa"/>
            <w:tcBorders>
              <w:top w:val="single" w:color="000000"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上合组织基地</w:t>
            </w:r>
          </w:p>
        </w:tc>
        <w:tc>
          <w:tcPr>
            <w:tcW w:w="2200"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51" w:hRule="atLeast"/>
          <w:jc w:val="center"/>
        </w:trPr>
        <w:tc>
          <w:tcPr>
            <w:tcW w:w="862" w:type="dxa"/>
            <w:vMerge w:val="continue"/>
            <w:tcBorders>
              <w:left w:val="single" w:color="auto" w:sz="4" w:space="0"/>
              <w:right w:val="single" w:color="auto" w:sz="4" w:space="0"/>
            </w:tcBorders>
            <w:shd w:val="clear" w:color="auto" w:fill="FFFFFF"/>
            <w:noWrap w:val="0"/>
            <w:textDirection w:val="tbRlV"/>
            <w:vAlign w:val="center"/>
          </w:tcPr>
          <w:p>
            <w:pPr>
              <w:widowControl/>
              <w:jc w:val="center"/>
              <w:rPr>
                <w:rFonts w:hint="eastAsia" w:ascii="宋体" w:hAnsi="宋体" w:cs="宋体"/>
                <w:b/>
                <w:color w:val="auto"/>
                <w:kern w:val="0"/>
                <w:szCs w:val="21"/>
                <w:highlight w:val="none"/>
              </w:rPr>
            </w:pPr>
          </w:p>
        </w:tc>
        <w:tc>
          <w:tcPr>
            <w:tcW w:w="1323" w:type="dxa"/>
            <w:tcBorders>
              <w:top w:val="single" w:color="000000"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25U000034</w:t>
            </w:r>
          </w:p>
        </w:tc>
        <w:tc>
          <w:tcPr>
            <w:tcW w:w="2712"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人类学概论</w:t>
            </w:r>
          </w:p>
        </w:tc>
        <w:tc>
          <w:tcPr>
            <w:tcW w:w="643" w:type="dxa"/>
            <w:tcBorders>
              <w:top w:val="single" w:color="000000"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single" w:color="000000"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上合组织基地</w:t>
            </w:r>
          </w:p>
        </w:tc>
        <w:tc>
          <w:tcPr>
            <w:tcW w:w="2200"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textDirection w:val="tbRlV"/>
            <w:vAlign w:val="center"/>
          </w:tcPr>
          <w:p>
            <w:pPr>
              <w:ind w:left="113" w:right="113"/>
              <w:jc w:val="center"/>
              <w:rPr>
                <w:rFonts w:ascii="宋体" w:hAnsi="宋体" w:cs="宋体"/>
                <w:b/>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textAlignment w:val="center"/>
              <w:rPr>
                <w:color w:val="auto"/>
                <w:kern w:val="0"/>
                <w:szCs w:val="21"/>
                <w:highlight w:val="none"/>
              </w:rPr>
            </w:pPr>
            <w:r>
              <w:rPr>
                <w:color w:val="auto"/>
                <w:kern w:val="0"/>
                <w:szCs w:val="21"/>
                <w:highlight w:val="none"/>
                <w:lang w:bidi="ar"/>
              </w:rPr>
              <w:t>25U000035</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“一带一路”沿线俄语国家风情</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Cs w:val="21"/>
                <w:highlight w:val="none"/>
                <w:lang w:bidi="ar"/>
              </w:rPr>
              <w:t>上合组织基地</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textDirection w:val="tbRlV"/>
            <w:vAlign w:val="center"/>
          </w:tcPr>
          <w:p>
            <w:pPr>
              <w:ind w:left="113" w:right="113"/>
              <w:jc w:val="center"/>
              <w:rPr>
                <w:rFonts w:ascii="宋体" w:hAnsi="宋体" w:cs="宋体"/>
                <w:b/>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textAlignment w:val="center"/>
              <w:rPr>
                <w:color w:val="auto"/>
                <w:kern w:val="0"/>
                <w:szCs w:val="21"/>
                <w:highlight w:val="none"/>
              </w:rPr>
            </w:pPr>
            <w:r>
              <w:rPr>
                <w:color w:val="auto"/>
                <w:kern w:val="0"/>
                <w:szCs w:val="21"/>
                <w:highlight w:val="none"/>
                <w:lang w:bidi="ar"/>
              </w:rPr>
              <w:t>25U000036</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俄罗斯热点问题</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Cs w:val="21"/>
                <w:highlight w:val="none"/>
                <w:lang w:bidi="ar"/>
              </w:rPr>
              <w:t>上合组织基地</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textDirection w:val="tbRlV"/>
            <w:vAlign w:val="center"/>
          </w:tcPr>
          <w:p>
            <w:pPr>
              <w:ind w:left="113" w:right="113"/>
              <w:jc w:val="center"/>
              <w:rPr>
                <w:rFonts w:ascii="宋体" w:hAnsi="宋体" w:cs="宋体"/>
                <w:b/>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textAlignment w:val="center"/>
              <w:rPr>
                <w:color w:val="auto"/>
                <w:kern w:val="0"/>
                <w:szCs w:val="21"/>
                <w:highlight w:val="none"/>
              </w:rPr>
            </w:pPr>
            <w:r>
              <w:rPr>
                <w:color w:val="auto"/>
                <w:kern w:val="0"/>
                <w:szCs w:val="21"/>
                <w:highlight w:val="none"/>
                <w:lang w:bidi="ar"/>
              </w:rPr>
              <w:t>25U000037</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中美关系热点问题研究</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Cs w:val="21"/>
                <w:highlight w:val="none"/>
                <w:lang w:bidi="ar"/>
              </w:rPr>
              <w:t>上合组织基地</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textDirection w:val="tbRlV"/>
            <w:vAlign w:val="center"/>
          </w:tcPr>
          <w:p>
            <w:pPr>
              <w:ind w:left="113" w:right="113"/>
              <w:jc w:val="center"/>
              <w:rPr>
                <w:rFonts w:ascii="宋体" w:hAnsi="宋体" w:cs="宋体"/>
                <w:b/>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textAlignment w:val="center"/>
              <w:rPr>
                <w:color w:val="auto"/>
                <w:kern w:val="0"/>
                <w:szCs w:val="21"/>
                <w:highlight w:val="none"/>
              </w:rPr>
            </w:pPr>
            <w:r>
              <w:rPr>
                <w:color w:val="auto"/>
                <w:kern w:val="0"/>
                <w:szCs w:val="21"/>
                <w:highlight w:val="none"/>
                <w:lang w:bidi="ar"/>
              </w:rPr>
              <w:t>25U000038</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olor w:val="auto"/>
                <w:szCs w:val="21"/>
                <w:highlight w:val="none"/>
              </w:rPr>
            </w:pPr>
            <w:r>
              <w:rPr>
                <w:rFonts w:hint="eastAsia" w:ascii="宋体" w:hAnsi="宋体" w:cs="宋体"/>
                <w:color w:val="auto"/>
                <w:kern w:val="0"/>
                <w:szCs w:val="21"/>
                <w:highlight w:val="none"/>
                <w:lang w:bidi="ar"/>
              </w:rPr>
              <w:t>中国与上海合作组织</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上合组织基地</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restart"/>
            <w:tcBorders>
              <w:top w:val="single" w:color="auto" w:sz="4" w:space="0"/>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p>
            <w:pPr>
              <w:widowControl/>
              <w:ind w:left="113" w:right="113"/>
              <w:jc w:val="center"/>
              <w:rPr>
                <w:rFonts w:hint="eastAsia" w:ascii="宋体" w:hAnsi="宋体" w:cs="宋体"/>
                <w:b/>
                <w:color w:val="auto"/>
                <w:kern w:val="0"/>
                <w:szCs w:val="21"/>
                <w:highlight w:val="none"/>
              </w:rPr>
            </w:pPr>
          </w:p>
          <w:p>
            <w:pPr>
              <w:widowControl/>
              <w:ind w:left="113" w:right="113"/>
              <w:jc w:val="center"/>
              <w:rPr>
                <w:rFonts w:hint="eastAsia" w:ascii="宋体" w:hAnsi="宋体" w:cs="宋体"/>
                <w:b/>
                <w:color w:val="auto"/>
                <w:kern w:val="0"/>
                <w:szCs w:val="21"/>
                <w:highlight w:val="none"/>
              </w:rPr>
            </w:pPr>
          </w:p>
          <w:p>
            <w:pPr>
              <w:widowControl/>
              <w:ind w:left="113" w:right="113"/>
              <w:jc w:val="center"/>
              <w:rPr>
                <w:rFonts w:hint="eastAsia" w:ascii="宋体" w:hAnsi="宋体" w:cs="宋体"/>
                <w:b/>
                <w:color w:val="auto"/>
                <w:kern w:val="0"/>
                <w:szCs w:val="21"/>
                <w:highlight w:val="none"/>
              </w:rPr>
            </w:pPr>
          </w:p>
          <w:p>
            <w:pPr>
              <w:widowControl/>
              <w:ind w:left="113" w:right="113"/>
              <w:jc w:val="center"/>
              <w:rPr>
                <w:rFonts w:hint="eastAsia" w:ascii="宋体" w:hAnsi="宋体" w:cs="宋体"/>
                <w:b/>
                <w:color w:val="auto"/>
                <w:kern w:val="0"/>
                <w:szCs w:val="21"/>
                <w:highlight w:val="none"/>
              </w:rPr>
            </w:pPr>
          </w:p>
          <w:p>
            <w:pPr>
              <w:widowControl/>
              <w:ind w:left="113" w:right="113"/>
              <w:jc w:val="center"/>
              <w:rPr>
                <w:rFonts w:hint="eastAsia" w:ascii="宋体" w:hAnsi="宋体" w:cs="宋体"/>
                <w:b/>
                <w:color w:val="auto"/>
                <w:kern w:val="0"/>
                <w:szCs w:val="21"/>
                <w:highlight w:val="none"/>
              </w:rPr>
            </w:pPr>
          </w:p>
          <w:p>
            <w:pPr>
              <w:widowControl/>
              <w:ind w:left="113" w:right="113"/>
              <w:jc w:val="center"/>
              <w:rPr>
                <w:rFonts w:hint="eastAsia" w:ascii="宋体" w:hAnsi="宋体" w:cs="宋体"/>
                <w:b/>
                <w:color w:val="auto"/>
                <w:kern w:val="0"/>
                <w:szCs w:val="21"/>
                <w:highlight w:val="none"/>
              </w:rPr>
            </w:pPr>
          </w:p>
          <w:p>
            <w:pPr>
              <w:widowControl/>
              <w:ind w:left="113" w:right="113"/>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创新思维与自然科学类</w:t>
            </w: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25G000002</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微积分基础</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经济管理学院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90"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25H000004</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逻辑：走出思维误区</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2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25X000001</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博弈论与策略思维</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olor w:val="auto"/>
                <w:szCs w:val="21"/>
                <w:highlight w:val="none"/>
              </w:rPr>
              <w:t>人工智能法学院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25X000002</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批判性思维</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olor w:val="auto"/>
                <w:szCs w:val="21"/>
                <w:highlight w:val="none"/>
              </w:rPr>
              <w:t>人工智能法学院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25N000007</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人工智能导论</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olor w:val="auto"/>
                <w:szCs w:val="21"/>
                <w:highlight w:val="none"/>
              </w:rPr>
              <w:t>人工智能法学院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25N000008</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ascii="宋体" w:hAnsi="宋体" w:cs="宋体"/>
                <w:color w:val="auto"/>
                <w:kern w:val="0"/>
                <w:szCs w:val="21"/>
                <w:highlight w:val="none"/>
              </w:rPr>
              <w:t>O</w:t>
            </w:r>
            <w:r>
              <w:rPr>
                <w:rFonts w:hint="eastAsia" w:ascii="宋体" w:hAnsi="宋体" w:cs="宋体"/>
                <w:color w:val="auto"/>
                <w:kern w:val="0"/>
                <w:szCs w:val="21"/>
                <w:highlight w:val="none"/>
              </w:rPr>
              <w:t>ffice法律数据分析与处理</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olor w:val="auto"/>
                <w:szCs w:val="21"/>
                <w:highlight w:val="none"/>
              </w:rPr>
              <w:t>人工智能法学院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25N000024</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程序竞赛导论</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olor w:val="auto"/>
                <w:szCs w:val="21"/>
                <w:highlight w:val="none"/>
              </w:rPr>
            </w:pPr>
            <w:r>
              <w:rPr>
                <w:rFonts w:hint="eastAsia" w:ascii="宋体" w:hAnsi="宋体"/>
                <w:color w:val="auto"/>
                <w:szCs w:val="21"/>
                <w:highlight w:val="none"/>
              </w:rPr>
              <w:t>人工智能法学院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25N000018</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区块链技术与法律</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olor w:val="auto"/>
                <w:szCs w:val="21"/>
                <w:highlight w:val="none"/>
              </w:rPr>
            </w:pPr>
            <w:r>
              <w:rPr>
                <w:rFonts w:hint="eastAsia" w:ascii="宋体" w:hAnsi="宋体"/>
                <w:color w:val="auto"/>
                <w:szCs w:val="21"/>
                <w:highlight w:val="none"/>
              </w:rPr>
              <w:t>人工智能法学院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25N000019</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Python程序入门</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olor w:val="auto"/>
                <w:szCs w:val="21"/>
                <w:highlight w:val="none"/>
              </w:rPr>
            </w:pPr>
            <w:r>
              <w:rPr>
                <w:rFonts w:hint="eastAsia" w:ascii="宋体" w:hAnsi="宋体"/>
                <w:color w:val="auto"/>
                <w:szCs w:val="21"/>
                <w:highlight w:val="none"/>
              </w:rPr>
              <w:t>人工智能法学院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25N000020</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机器学习基础</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olor w:val="auto"/>
                <w:szCs w:val="21"/>
                <w:highlight w:val="none"/>
              </w:rPr>
            </w:pPr>
            <w:r>
              <w:rPr>
                <w:rFonts w:hint="eastAsia" w:ascii="宋体" w:hAnsi="宋体"/>
                <w:color w:val="auto"/>
                <w:szCs w:val="21"/>
                <w:highlight w:val="none"/>
              </w:rPr>
              <w:t>人工智能法学院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25N000021</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数字媒体技术创意设计与制作</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olor w:val="auto"/>
                <w:szCs w:val="21"/>
                <w:highlight w:val="none"/>
              </w:rPr>
            </w:pPr>
            <w:r>
              <w:rPr>
                <w:rFonts w:hint="eastAsia" w:ascii="宋体" w:hAnsi="宋体"/>
                <w:color w:val="auto"/>
                <w:szCs w:val="21"/>
                <w:highlight w:val="none"/>
              </w:rPr>
              <w:t>人工智能法学院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25N000022</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计算机信息检索</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olor w:val="auto"/>
                <w:szCs w:val="21"/>
                <w:highlight w:val="none"/>
              </w:rPr>
            </w:pPr>
            <w:r>
              <w:rPr>
                <w:rFonts w:hint="eastAsia" w:ascii="宋体" w:hAnsi="宋体"/>
                <w:color w:val="auto"/>
                <w:szCs w:val="21"/>
                <w:highlight w:val="none"/>
              </w:rPr>
              <w:t>人工智能法学院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25N000023</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元宇宙多元解构与应用图景前瞻</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szCs w:val="21"/>
                <w:highlight w:val="none"/>
              </w:rPr>
            </w:pPr>
          </w:p>
          <w:p>
            <w:pPr>
              <w:widowControl/>
              <w:jc w:val="center"/>
              <w:rPr>
                <w:rFonts w:hint="eastAsia" w:ascii="宋体" w:hAnsi="宋体"/>
                <w:color w:val="auto"/>
                <w:szCs w:val="21"/>
                <w:highlight w:val="none"/>
              </w:rPr>
            </w:pPr>
            <w:r>
              <w:rPr>
                <w:rFonts w:hint="eastAsia" w:ascii="宋体" w:hAnsi="宋体"/>
                <w:color w:val="auto"/>
                <w:szCs w:val="21"/>
                <w:highlight w:val="none"/>
              </w:rPr>
              <w:t>人工智能法学院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25L000008</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文科物理与化学</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olor w:val="auto"/>
                <w:szCs w:val="21"/>
                <w:highlight w:val="none"/>
              </w:rPr>
            </w:pPr>
            <w:r>
              <w:rPr>
                <w:rFonts w:hint="eastAsia" w:ascii="宋体" w:hAnsi="宋体"/>
                <w:color w:val="auto"/>
                <w:szCs w:val="21"/>
                <w:highlight w:val="none"/>
              </w:rPr>
              <w:t>警务学院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nil"/>
              <w:bottom w:val="single" w:color="auto" w:sz="4" w:space="0"/>
              <w:right w:val="single" w:color="000000"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25L000013</w:t>
            </w:r>
          </w:p>
        </w:tc>
        <w:tc>
          <w:tcPr>
            <w:tcW w:w="2712"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color w:val="auto"/>
                <w:szCs w:val="21"/>
                <w:highlight w:val="none"/>
              </w:rPr>
            </w:pPr>
            <w:r>
              <w:rPr>
                <w:rFonts w:hint="eastAsia" w:ascii="宋体" w:hAnsi="宋体"/>
                <w:color w:val="auto"/>
                <w:szCs w:val="21"/>
                <w:highlight w:val="none"/>
              </w:rPr>
              <w:t>深度自然游戏</w:t>
            </w:r>
          </w:p>
        </w:tc>
        <w:tc>
          <w:tcPr>
            <w:tcW w:w="643"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olor w:val="auto"/>
                <w:szCs w:val="21"/>
                <w:highlight w:val="none"/>
              </w:rPr>
              <w:t>警务学院</w:t>
            </w:r>
          </w:p>
        </w:tc>
        <w:tc>
          <w:tcPr>
            <w:tcW w:w="22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25D000008</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olor w:val="auto"/>
                <w:szCs w:val="21"/>
                <w:highlight w:val="none"/>
              </w:rPr>
            </w:pPr>
            <w:r>
              <w:rPr>
                <w:rFonts w:hint="eastAsia" w:ascii="宋体" w:hAnsi="宋体"/>
                <w:color w:val="auto"/>
                <w:szCs w:val="21"/>
                <w:highlight w:val="none"/>
              </w:rPr>
              <w:t>未来世界工作必备基础</w:t>
            </w:r>
            <w:r>
              <w:rPr>
                <w:rFonts w:ascii="宋体" w:hAnsi="宋体"/>
                <w:color w:val="auto"/>
                <w:szCs w:val="21"/>
                <w:highlight w:val="none"/>
              </w:rPr>
              <w:t>—</w:t>
            </w:r>
            <w:r>
              <w:rPr>
                <w:rFonts w:hint="eastAsia" w:ascii="宋体" w:hAnsi="宋体"/>
                <w:color w:val="auto"/>
                <w:szCs w:val="21"/>
                <w:highlight w:val="none"/>
              </w:rPr>
              <w:t>机器学习和人工智能入门</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olor w:val="auto"/>
                <w:szCs w:val="21"/>
                <w:highlight w:val="none"/>
              </w:rPr>
            </w:pPr>
            <w:r>
              <w:rPr>
                <w:rFonts w:hint="eastAsia" w:ascii="宋体" w:hAnsi="宋体" w:cs="宋体"/>
                <w:color w:val="auto"/>
                <w:kern w:val="0"/>
                <w:szCs w:val="21"/>
                <w:highlight w:val="none"/>
              </w:rPr>
              <w:t>刑事司法学院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引进国际课程</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25D000009</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olor w:val="auto"/>
                <w:szCs w:val="21"/>
                <w:highlight w:val="none"/>
              </w:rPr>
            </w:pPr>
            <w:r>
              <w:rPr>
                <w:rFonts w:hint="eastAsia" w:ascii="宋体" w:hAnsi="宋体"/>
                <w:color w:val="auto"/>
                <w:szCs w:val="21"/>
                <w:highlight w:val="none"/>
              </w:rPr>
              <w:t>如何通过数据做出决策——数据科学的应用入门</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刑事司法学院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引进国际课程</w:t>
            </w: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25M000009</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olor w:val="auto"/>
                <w:szCs w:val="21"/>
                <w:highlight w:val="none"/>
              </w:rPr>
            </w:pPr>
            <w:r>
              <w:rPr>
                <w:rFonts w:hint="eastAsia" w:ascii="宋体" w:hAnsi="宋体"/>
                <w:color w:val="auto"/>
                <w:szCs w:val="21"/>
                <w:highlight w:val="none"/>
              </w:rPr>
              <w:t>创新思维</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秋</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上海纪录片学院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630" w:firstLineChars="300"/>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szCs w:val="21"/>
                <w:highlight w:val="none"/>
              </w:rPr>
            </w:pPr>
            <w:r>
              <w:rPr>
                <w:color w:val="auto"/>
                <w:szCs w:val="21"/>
                <w:highlight w:val="none"/>
              </w:rPr>
              <w:t>25F000009</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olor w:val="auto"/>
                <w:szCs w:val="21"/>
                <w:highlight w:val="none"/>
              </w:rPr>
            </w:pPr>
            <w:r>
              <w:rPr>
                <w:rFonts w:hint="eastAsia" w:ascii="宋体" w:hAnsi="宋体"/>
                <w:color w:val="auto"/>
                <w:szCs w:val="21"/>
                <w:highlight w:val="none"/>
              </w:rPr>
              <w:t>批判性思维——方法与实践</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马克思主义学院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color w:val="auto"/>
                <w:kern w:val="0"/>
                <w:szCs w:val="21"/>
                <w:highlight w:val="none"/>
              </w:rPr>
            </w:pPr>
            <w:r>
              <w:rPr>
                <w:color w:val="auto"/>
                <w:kern w:val="0"/>
                <w:szCs w:val="21"/>
                <w:highlight w:val="none"/>
                <w:lang w:bidi="ar"/>
              </w:rPr>
              <w:t>25D000010</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犯罪现场“蛛丝马迹”探秘</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刑事司法学院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color w:val="auto"/>
                <w:kern w:val="0"/>
                <w:szCs w:val="21"/>
                <w:highlight w:val="none"/>
              </w:rPr>
            </w:pPr>
            <w:r>
              <w:rPr>
                <w:color w:val="auto"/>
                <w:kern w:val="0"/>
                <w:szCs w:val="21"/>
                <w:highlight w:val="none"/>
                <w:lang w:bidi="ar"/>
              </w:rPr>
              <w:t>25G000017</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人文社科问题的数理分析与stata应用</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秋</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经济管理学院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left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color w:val="auto"/>
                <w:kern w:val="0"/>
                <w:szCs w:val="21"/>
                <w:highlight w:val="none"/>
              </w:rPr>
            </w:pPr>
            <w:r>
              <w:rPr>
                <w:color w:val="auto"/>
                <w:kern w:val="0"/>
                <w:szCs w:val="21"/>
                <w:highlight w:val="none"/>
                <w:lang w:bidi="ar"/>
              </w:rPr>
              <w:t>25G000018</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创新创业法律实务</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秋</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经济管理学院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559" w:hRule="atLeast"/>
          <w:jc w:val="center"/>
        </w:trPr>
        <w:tc>
          <w:tcPr>
            <w:tcW w:w="862" w:type="dxa"/>
            <w:vMerge w:val="continue"/>
            <w:tcBorders>
              <w:left w:val="single" w:color="auto" w:sz="4" w:space="0"/>
              <w:bottom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color w:val="auto"/>
                <w:kern w:val="0"/>
                <w:szCs w:val="21"/>
                <w:highlight w:val="none"/>
              </w:rPr>
            </w:pPr>
            <w:r>
              <w:rPr>
                <w:color w:val="auto"/>
                <w:kern w:val="0"/>
                <w:szCs w:val="21"/>
                <w:highlight w:val="none"/>
                <w:lang w:bidi="ar"/>
              </w:rPr>
              <w:t>25F000011</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逻辑思维与逻辑表达</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马克思主义学院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艺术素养类</w:t>
            </w: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25J000001</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诗词与书法艺术</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ascii="宋体" w:hAnsi="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春、秋</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语言文化学院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25S000005</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俄罗斯艺术文化</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语言文化学院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25K000013</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音乐鉴赏</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上海纪录片学院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25K000014</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世界民族音乐文化</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上海纪录片学院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25K000005</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艺术与人生</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上海纪录片学院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25K000015</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世界经典电影赏析</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上海纪录片学院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25M000001</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摄影鉴赏与实践</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4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上海纪录片学院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25M000002</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音乐基本理论与素养</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上海纪录片学院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25M000003</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乐器简史</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上海纪录片学院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25M000004</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海派艺术与海派文化</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上海纪录片学院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25M000005</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新视频节目创意与策划</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上海纪录片学院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25M000006</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影视语言与文化</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上海纪录片学院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25M000007</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艺术方法论</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上海纪录片学院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25M000010</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世界动画名作鉴赏</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上海纪录片学院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25M000011</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视觉艺术欣赏与分析</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wordWrap w:val="0"/>
              <w:spacing w:line="420" w:lineRule="atLeast"/>
              <w:jc w:val="center"/>
              <w:rPr>
                <w:rFonts w:hint="eastAsia" w:ascii="宋体" w:hAnsi="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上海纪录片学院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Cs w:val="21"/>
                <w:highlight w:val="none"/>
              </w:rPr>
            </w:pPr>
            <w:r>
              <w:rPr>
                <w:color w:val="auto"/>
                <w:kern w:val="0"/>
                <w:szCs w:val="21"/>
                <w:highlight w:val="none"/>
                <w:lang w:bidi="ar"/>
              </w:rPr>
              <w:t>25M000013</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现代设计与艺术审美</w:t>
            </w: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上海纪录片学院</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Cs w:val="21"/>
                <w:highlight w:val="none"/>
              </w:rPr>
            </w:pPr>
            <w:r>
              <w:rPr>
                <w:color w:val="auto"/>
                <w:kern w:val="0"/>
                <w:szCs w:val="21"/>
                <w:highlight w:val="none"/>
                <w:lang w:bidi="ar"/>
              </w:rPr>
              <w:t>25M000014</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中国电影发展传播史</w:t>
            </w: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上海纪录片学院</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Cs w:val="21"/>
                <w:highlight w:val="none"/>
              </w:rPr>
            </w:pPr>
            <w:r>
              <w:rPr>
                <w:color w:val="auto"/>
                <w:kern w:val="0"/>
                <w:szCs w:val="21"/>
                <w:highlight w:val="none"/>
                <w:lang w:bidi="ar"/>
              </w:rPr>
              <w:t>25M000016</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类型电影文化</w:t>
            </w: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上海纪录片学院</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Cs w:val="21"/>
                <w:highlight w:val="none"/>
              </w:rPr>
            </w:pPr>
            <w:r>
              <w:rPr>
                <w:color w:val="auto"/>
                <w:kern w:val="0"/>
                <w:szCs w:val="21"/>
                <w:highlight w:val="none"/>
                <w:lang w:bidi="ar"/>
              </w:rPr>
              <w:t>25M000018</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电影媒介与艺术素养</w:t>
            </w: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上海纪录片学院</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25E000003</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神话与宗教美术史</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春、秋</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国际法学院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25U000001</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俄罗斯文化艺术赏析</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4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上合组织基地</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color w:val="auto"/>
                <w:kern w:val="0"/>
                <w:szCs w:val="21"/>
                <w:highlight w:val="none"/>
              </w:rPr>
            </w:pPr>
            <w:r>
              <w:rPr>
                <w:color w:val="auto"/>
                <w:kern w:val="0"/>
                <w:szCs w:val="21"/>
                <w:highlight w:val="none"/>
              </w:rPr>
              <w:t>25R000005</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电影与社会</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春</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政府管理学院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color w:val="auto"/>
                <w:kern w:val="0"/>
                <w:szCs w:val="21"/>
                <w:highlight w:val="none"/>
              </w:rPr>
            </w:pPr>
            <w:r>
              <w:rPr>
                <w:color w:val="auto"/>
                <w:kern w:val="0"/>
                <w:szCs w:val="21"/>
                <w:highlight w:val="none"/>
                <w:lang w:bidi="ar"/>
              </w:rPr>
              <w:t>25G000015</w:t>
            </w:r>
          </w:p>
        </w:tc>
        <w:tc>
          <w:tcPr>
            <w:tcW w:w="2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职业形象与美妆</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经济管理学院</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2" w:hRule="atLeast"/>
          <w:jc w:val="center"/>
        </w:trPr>
        <w:tc>
          <w:tcPr>
            <w:tcW w:w="8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113" w:right="113"/>
              <w:jc w:val="center"/>
              <w:rPr>
                <w:rFonts w:hint="eastAsia" w:ascii="宋体" w:hAnsi="宋体" w:cs="宋体"/>
                <w:b/>
                <w:color w:val="auto"/>
                <w:kern w:val="0"/>
                <w:szCs w:val="21"/>
                <w:highlight w:val="none"/>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auto"/>
                <w:kern w:val="0"/>
                <w:szCs w:val="21"/>
                <w:highlight w:val="none"/>
              </w:rPr>
            </w:pPr>
            <w:r>
              <w:rPr>
                <w:color w:val="auto"/>
                <w:kern w:val="0"/>
                <w:szCs w:val="21"/>
                <w:highlight w:val="none"/>
                <w:lang w:bidi="ar"/>
              </w:rPr>
              <w:t>25F000012</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中国书法的审美与实践</w:t>
            </w:r>
          </w:p>
        </w:tc>
        <w:tc>
          <w:tcPr>
            <w:tcW w:w="64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春、秋</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马克思主义学院</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kern w:val="0"/>
                <w:szCs w:val="21"/>
                <w:highlight w:val="none"/>
              </w:rPr>
            </w:pPr>
          </w:p>
        </w:tc>
      </w:tr>
    </w:tbl>
    <w:p>
      <w:pPr>
        <w:spacing w:line="520" w:lineRule="exact"/>
        <w:ind w:firstLine="482" w:firstLineChars="200"/>
        <w:jc w:val="left"/>
        <w:rPr>
          <w:rFonts w:ascii="宋体" w:hAnsi="宋体"/>
          <w:b/>
          <w:color w:val="auto"/>
          <w:kern w:val="0"/>
          <w:sz w:val="24"/>
          <w:highlight w:val="none"/>
        </w:rPr>
      </w:pPr>
      <w:r>
        <w:rPr>
          <w:rFonts w:ascii="宋体" w:hAnsi="宋体"/>
          <w:b/>
          <w:color w:val="auto"/>
          <w:kern w:val="0"/>
          <w:sz w:val="24"/>
          <w:highlight w:val="none"/>
        </w:rPr>
        <w:t>注</w:t>
      </w:r>
      <w:r>
        <w:rPr>
          <w:rFonts w:hint="eastAsia" w:ascii="宋体" w:hAnsi="宋体"/>
          <w:b/>
          <w:color w:val="auto"/>
          <w:kern w:val="0"/>
          <w:sz w:val="24"/>
          <w:highlight w:val="none"/>
        </w:rPr>
        <w:t>：</w:t>
      </w:r>
    </w:p>
    <w:p>
      <w:pPr>
        <w:spacing w:line="52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1.2023</w:t>
      </w:r>
      <w:r>
        <w:rPr>
          <w:rFonts w:ascii="宋体" w:hAnsi="宋体"/>
          <w:color w:val="auto"/>
          <w:kern w:val="0"/>
          <w:sz w:val="24"/>
          <w:highlight w:val="none"/>
        </w:rPr>
        <w:t>级本科生</w:t>
      </w:r>
      <w:r>
        <w:rPr>
          <w:rFonts w:hint="eastAsia" w:ascii="宋体" w:hAnsi="宋体"/>
          <w:color w:val="auto"/>
          <w:kern w:val="0"/>
          <w:sz w:val="24"/>
          <w:highlight w:val="none"/>
        </w:rPr>
        <w:t>一般</w:t>
      </w:r>
      <w:r>
        <w:rPr>
          <w:rFonts w:ascii="宋体" w:hAnsi="宋体"/>
          <w:color w:val="auto"/>
          <w:kern w:val="0"/>
          <w:sz w:val="24"/>
          <w:highlight w:val="none"/>
        </w:rPr>
        <w:t>应修读1</w:t>
      </w:r>
      <w:r>
        <w:rPr>
          <w:rFonts w:hint="eastAsia" w:ascii="宋体" w:hAnsi="宋体"/>
          <w:color w:val="auto"/>
          <w:kern w:val="0"/>
          <w:sz w:val="24"/>
          <w:highlight w:val="none"/>
        </w:rPr>
        <w:t>0</w:t>
      </w:r>
      <w:r>
        <w:rPr>
          <w:rFonts w:ascii="宋体" w:hAnsi="宋体"/>
          <w:color w:val="auto"/>
          <w:kern w:val="0"/>
          <w:sz w:val="24"/>
          <w:highlight w:val="none"/>
        </w:rPr>
        <w:t>学分通识选修课</w:t>
      </w:r>
      <w:r>
        <w:rPr>
          <w:rFonts w:hint="eastAsia" w:ascii="宋体" w:hAnsi="宋体"/>
          <w:color w:val="auto"/>
          <w:kern w:val="0"/>
          <w:sz w:val="24"/>
          <w:highlight w:val="none"/>
        </w:rPr>
        <w:t>（各本科专业通识选修课修读学分要求以各本科专业教学计划进程表为准），选修10学分通识选修课的本科专业（方向）学生须分别在“人文社科类”“创新思维与自然科学类”和“艺术素养”等三个课程组中分别修读6学分、2学分、2学分课程；</w:t>
      </w:r>
      <w:r>
        <w:rPr>
          <w:rFonts w:hint="eastAsia" w:ascii="宋体" w:hAnsi="宋体"/>
          <w:color w:val="auto"/>
          <w:kern w:val="0"/>
          <w:sz w:val="24"/>
          <w:highlight w:val="none"/>
        </w:rPr>
        <w:t>其中“心理健康教育”课程为通识限选课，学生须修读；</w:t>
      </w:r>
      <w:r>
        <w:rPr>
          <w:rFonts w:hint="eastAsia" w:ascii="宋体" w:hAnsi="宋体"/>
          <w:color w:val="auto"/>
          <w:kern w:val="0"/>
          <w:sz w:val="24"/>
          <w:highlight w:val="none"/>
        </w:rPr>
        <w:t>非法学类专业本科生须在“人文社科类”至少选修2学分法学类课程（上表“备注”栏注明“法学类”的课程）。</w:t>
      </w:r>
    </w:p>
    <w:p>
      <w:pPr>
        <w:spacing w:line="520" w:lineRule="exact"/>
        <w:ind w:firstLine="480" w:firstLineChars="200"/>
        <w:jc w:val="left"/>
        <w:rPr>
          <w:rFonts w:ascii="宋体" w:hAnsi="宋体"/>
          <w:color w:val="auto"/>
          <w:kern w:val="0"/>
          <w:szCs w:val="21"/>
          <w:highlight w:val="none"/>
        </w:rPr>
      </w:pPr>
      <w:r>
        <w:rPr>
          <w:rFonts w:hint="eastAsia" w:ascii="宋体" w:hAnsi="宋体"/>
          <w:color w:val="auto"/>
          <w:kern w:val="0"/>
          <w:sz w:val="24"/>
          <w:highlight w:val="none"/>
        </w:rPr>
        <w:t>2.各卓越试点班（创新班）等通识选修课学分不为10分的学生</w:t>
      </w:r>
      <w:r>
        <w:rPr>
          <w:rFonts w:hint="eastAsia" w:ascii="宋体" w:hAnsi="宋体"/>
          <w:color w:val="auto"/>
          <w:kern w:val="0"/>
          <w:sz w:val="24"/>
          <w:highlight w:val="none"/>
        </w:rPr>
        <w:t>须修读“心理健康教育”课程</w:t>
      </w:r>
      <w:r>
        <w:rPr>
          <w:rFonts w:hint="eastAsia" w:ascii="宋体" w:hAnsi="宋体"/>
          <w:color w:val="auto"/>
          <w:kern w:val="0"/>
          <w:sz w:val="24"/>
          <w:highlight w:val="none"/>
        </w:rPr>
        <w:t>，须在“艺术素养”课程组中修读2学分，其余学分可在保证毕业总学分一定的前提下，自主安排课程组，建议所选修课程尽量分布在不同课程组。</w:t>
      </w:r>
    </w:p>
    <w:p>
      <w:pPr>
        <w:jc w:val="left"/>
        <w:rPr>
          <w:rFonts w:hint="eastAsia" w:ascii="宋体" w:hAnsi="宋体"/>
          <w:color w:val="auto"/>
          <w:kern w:val="0"/>
          <w:szCs w:val="21"/>
          <w:highlight w:val="none"/>
        </w:rPr>
      </w:pPr>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ZDc1NzM2MDAxYjQ0NDNiNjU2YjY0NzhjYTE4ZDEifQ=="/>
  </w:docVars>
  <w:rsids>
    <w:rsidRoot w:val="00C01336"/>
    <w:rsid w:val="00002C13"/>
    <w:rsid w:val="00003177"/>
    <w:rsid w:val="00010488"/>
    <w:rsid w:val="00012742"/>
    <w:rsid w:val="000139B1"/>
    <w:rsid w:val="00013F70"/>
    <w:rsid w:val="000177D0"/>
    <w:rsid w:val="000206E6"/>
    <w:rsid w:val="000257A9"/>
    <w:rsid w:val="0003004E"/>
    <w:rsid w:val="00032832"/>
    <w:rsid w:val="000349E8"/>
    <w:rsid w:val="000356E8"/>
    <w:rsid w:val="00052157"/>
    <w:rsid w:val="000532A0"/>
    <w:rsid w:val="000557DB"/>
    <w:rsid w:val="000560A8"/>
    <w:rsid w:val="00062107"/>
    <w:rsid w:val="000653FD"/>
    <w:rsid w:val="00065F6D"/>
    <w:rsid w:val="00067198"/>
    <w:rsid w:val="00073321"/>
    <w:rsid w:val="00086A57"/>
    <w:rsid w:val="000878E8"/>
    <w:rsid w:val="000917EE"/>
    <w:rsid w:val="00093982"/>
    <w:rsid w:val="00095567"/>
    <w:rsid w:val="000A57EB"/>
    <w:rsid w:val="000B2AD0"/>
    <w:rsid w:val="000B7215"/>
    <w:rsid w:val="000B75EA"/>
    <w:rsid w:val="000C1231"/>
    <w:rsid w:val="000C1656"/>
    <w:rsid w:val="000D26C5"/>
    <w:rsid w:val="000D42A4"/>
    <w:rsid w:val="000D4C13"/>
    <w:rsid w:val="000E3316"/>
    <w:rsid w:val="000E3452"/>
    <w:rsid w:val="000E408A"/>
    <w:rsid w:val="000E4A95"/>
    <w:rsid w:val="000E5E10"/>
    <w:rsid w:val="001112C9"/>
    <w:rsid w:val="00114560"/>
    <w:rsid w:val="00125568"/>
    <w:rsid w:val="001318F0"/>
    <w:rsid w:val="001372DA"/>
    <w:rsid w:val="00143660"/>
    <w:rsid w:val="0015570F"/>
    <w:rsid w:val="00157042"/>
    <w:rsid w:val="00165407"/>
    <w:rsid w:val="001706C4"/>
    <w:rsid w:val="00172269"/>
    <w:rsid w:val="001738A4"/>
    <w:rsid w:val="0017669D"/>
    <w:rsid w:val="0018032A"/>
    <w:rsid w:val="00187A8F"/>
    <w:rsid w:val="00195C63"/>
    <w:rsid w:val="00196379"/>
    <w:rsid w:val="001A1255"/>
    <w:rsid w:val="001A7391"/>
    <w:rsid w:val="001B26ED"/>
    <w:rsid w:val="001B64C6"/>
    <w:rsid w:val="001D7C34"/>
    <w:rsid w:val="001F0869"/>
    <w:rsid w:val="001F11C4"/>
    <w:rsid w:val="001F27BA"/>
    <w:rsid w:val="0020293C"/>
    <w:rsid w:val="00204C6E"/>
    <w:rsid w:val="002320F4"/>
    <w:rsid w:val="00237381"/>
    <w:rsid w:val="00242C99"/>
    <w:rsid w:val="002631F6"/>
    <w:rsid w:val="00264B40"/>
    <w:rsid w:val="00265B66"/>
    <w:rsid w:val="002745CD"/>
    <w:rsid w:val="00277621"/>
    <w:rsid w:val="00295F55"/>
    <w:rsid w:val="002B2FF8"/>
    <w:rsid w:val="002B509D"/>
    <w:rsid w:val="002C082C"/>
    <w:rsid w:val="002C35F0"/>
    <w:rsid w:val="002C46FB"/>
    <w:rsid w:val="002C7013"/>
    <w:rsid w:val="002D5629"/>
    <w:rsid w:val="002E094E"/>
    <w:rsid w:val="002F0DA4"/>
    <w:rsid w:val="00302CB0"/>
    <w:rsid w:val="00317642"/>
    <w:rsid w:val="00321D53"/>
    <w:rsid w:val="00331C6C"/>
    <w:rsid w:val="0033567C"/>
    <w:rsid w:val="00345E94"/>
    <w:rsid w:val="00352E49"/>
    <w:rsid w:val="00355230"/>
    <w:rsid w:val="00355DD2"/>
    <w:rsid w:val="003565F0"/>
    <w:rsid w:val="003572D1"/>
    <w:rsid w:val="00364289"/>
    <w:rsid w:val="00381A48"/>
    <w:rsid w:val="0038343F"/>
    <w:rsid w:val="00383642"/>
    <w:rsid w:val="003841BA"/>
    <w:rsid w:val="00386A63"/>
    <w:rsid w:val="0039745F"/>
    <w:rsid w:val="003A1B3F"/>
    <w:rsid w:val="003A4F2E"/>
    <w:rsid w:val="003A657C"/>
    <w:rsid w:val="003B2263"/>
    <w:rsid w:val="003B4AAA"/>
    <w:rsid w:val="003C189B"/>
    <w:rsid w:val="003C687D"/>
    <w:rsid w:val="003D7C95"/>
    <w:rsid w:val="003E02F5"/>
    <w:rsid w:val="003E5DB7"/>
    <w:rsid w:val="003F729C"/>
    <w:rsid w:val="00400C58"/>
    <w:rsid w:val="00403937"/>
    <w:rsid w:val="00407718"/>
    <w:rsid w:val="0041083B"/>
    <w:rsid w:val="00414870"/>
    <w:rsid w:val="004179EB"/>
    <w:rsid w:val="004227EF"/>
    <w:rsid w:val="00432B7E"/>
    <w:rsid w:val="0043465E"/>
    <w:rsid w:val="00434F67"/>
    <w:rsid w:val="00437186"/>
    <w:rsid w:val="00443E4A"/>
    <w:rsid w:val="0045232B"/>
    <w:rsid w:val="00457852"/>
    <w:rsid w:val="004714DA"/>
    <w:rsid w:val="0047491C"/>
    <w:rsid w:val="0048418F"/>
    <w:rsid w:val="00486746"/>
    <w:rsid w:val="004872AA"/>
    <w:rsid w:val="0048737C"/>
    <w:rsid w:val="004958E9"/>
    <w:rsid w:val="00495DC9"/>
    <w:rsid w:val="004A17A6"/>
    <w:rsid w:val="004A7AAD"/>
    <w:rsid w:val="004A7CB1"/>
    <w:rsid w:val="004B07A1"/>
    <w:rsid w:val="004B10DB"/>
    <w:rsid w:val="004B4D9F"/>
    <w:rsid w:val="004C102A"/>
    <w:rsid w:val="004C51E0"/>
    <w:rsid w:val="004D1D64"/>
    <w:rsid w:val="004D38A8"/>
    <w:rsid w:val="004D38D0"/>
    <w:rsid w:val="004F2128"/>
    <w:rsid w:val="004F66D2"/>
    <w:rsid w:val="0050144F"/>
    <w:rsid w:val="00504E52"/>
    <w:rsid w:val="00512498"/>
    <w:rsid w:val="005209FC"/>
    <w:rsid w:val="00531069"/>
    <w:rsid w:val="00536167"/>
    <w:rsid w:val="005411A4"/>
    <w:rsid w:val="005412D2"/>
    <w:rsid w:val="00543685"/>
    <w:rsid w:val="00543B7F"/>
    <w:rsid w:val="005711A3"/>
    <w:rsid w:val="00583C6C"/>
    <w:rsid w:val="00587CFC"/>
    <w:rsid w:val="0059288A"/>
    <w:rsid w:val="005A05CF"/>
    <w:rsid w:val="005B16A3"/>
    <w:rsid w:val="005C27A9"/>
    <w:rsid w:val="005D0AFB"/>
    <w:rsid w:val="005D20D1"/>
    <w:rsid w:val="005D4C6E"/>
    <w:rsid w:val="005D5AD8"/>
    <w:rsid w:val="005E29AF"/>
    <w:rsid w:val="005E2B8E"/>
    <w:rsid w:val="006064C7"/>
    <w:rsid w:val="00611D47"/>
    <w:rsid w:val="006176F6"/>
    <w:rsid w:val="00631048"/>
    <w:rsid w:val="0063116D"/>
    <w:rsid w:val="006319C3"/>
    <w:rsid w:val="006319C7"/>
    <w:rsid w:val="006376C2"/>
    <w:rsid w:val="00641307"/>
    <w:rsid w:val="0065296C"/>
    <w:rsid w:val="00661241"/>
    <w:rsid w:val="00662A68"/>
    <w:rsid w:val="00672248"/>
    <w:rsid w:val="00687A23"/>
    <w:rsid w:val="00690855"/>
    <w:rsid w:val="006A5CFE"/>
    <w:rsid w:val="006B2C55"/>
    <w:rsid w:val="006B6005"/>
    <w:rsid w:val="006C3758"/>
    <w:rsid w:val="006C607D"/>
    <w:rsid w:val="006C619C"/>
    <w:rsid w:val="006C7543"/>
    <w:rsid w:val="006D4AD3"/>
    <w:rsid w:val="006D6D5F"/>
    <w:rsid w:val="006E35FA"/>
    <w:rsid w:val="006E4DCA"/>
    <w:rsid w:val="006F4970"/>
    <w:rsid w:val="0070192D"/>
    <w:rsid w:val="007037F7"/>
    <w:rsid w:val="00721907"/>
    <w:rsid w:val="00724092"/>
    <w:rsid w:val="00724C66"/>
    <w:rsid w:val="00724EC5"/>
    <w:rsid w:val="0072761E"/>
    <w:rsid w:val="007337EC"/>
    <w:rsid w:val="007416C1"/>
    <w:rsid w:val="00755B90"/>
    <w:rsid w:val="00757231"/>
    <w:rsid w:val="00763002"/>
    <w:rsid w:val="007640D7"/>
    <w:rsid w:val="0076683E"/>
    <w:rsid w:val="00767716"/>
    <w:rsid w:val="00781379"/>
    <w:rsid w:val="0078273D"/>
    <w:rsid w:val="00784D37"/>
    <w:rsid w:val="00785EE9"/>
    <w:rsid w:val="0079413E"/>
    <w:rsid w:val="007B016F"/>
    <w:rsid w:val="007B58C8"/>
    <w:rsid w:val="007B5EAD"/>
    <w:rsid w:val="007C1FFC"/>
    <w:rsid w:val="007C2BC4"/>
    <w:rsid w:val="007C5D7A"/>
    <w:rsid w:val="007D27CB"/>
    <w:rsid w:val="007D4E74"/>
    <w:rsid w:val="007D77F0"/>
    <w:rsid w:val="007E5C87"/>
    <w:rsid w:val="007E6DE0"/>
    <w:rsid w:val="007F007E"/>
    <w:rsid w:val="007F1D49"/>
    <w:rsid w:val="007F2216"/>
    <w:rsid w:val="007F4680"/>
    <w:rsid w:val="00804025"/>
    <w:rsid w:val="00806EFD"/>
    <w:rsid w:val="008115AA"/>
    <w:rsid w:val="00812388"/>
    <w:rsid w:val="008156B2"/>
    <w:rsid w:val="008164B6"/>
    <w:rsid w:val="00820032"/>
    <w:rsid w:val="00823057"/>
    <w:rsid w:val="00824827"/>
    <w:rsid w:val="008258FC"/>
    <w:rsid w:val="00833708"/>
    <w:rsid w:val="00834DDE"/>
    <w:rsid w:val="00844752"/>
    <w:rsid w:val="00851CB4"/>
    <w:rsid w:val="008539D8"/>
    <w:rsid w:val="00860BC0"/>
    <w:rsid w:val="008614A9"/>
    <w:rsid w:val="00863337"/>
    <w:rsid w:val="008633AD"/>
    <w:rsid w:val="00864ED1"/>
    <w:rsid w:val="00866429"/>
    <w:rsid w:val="00874434"/>
    <w:rsid w:val="00880BAC"/>
    <w:rsid w:val="00881C20"/>
    <w:rsid w:val="00885098"/>
    <w:rsid w:val="008855E0"/>
    <w:rsid w:val="00893566"/>
    <w:rsid w:val="008A6549"/>
    <w:rsid w:val="008B2F69"/>
    <w:rsid w:val="008C0655"/>
    <w:rsid w:val="008C42FC"/>
    <w:rsid w:val="008D3C1A"/>
    <w:rsid w:val="008E2375"/>
    <w:rsid w:val="008E7BBA"/>
    <w:rsid w:val="008F28CA"/>
    <w:rsid w:val="008F49F8"/>
    <w:rsid w:val="008F636F"/>
    <w:rsid w:val="00907282"/>
    <w:rsid w:val="00922267"/>
    <w:rsid w:val="00927E36"/>
    <w:rsid w:val="00935B0D"/>
    <w:rsid w:val="0093736B"/>
    <w:rsid w:val="00943DB0"/>
    <w:rsid w:val="009447A1"/>
    <w:rsid w:val="00950FFE"/>
    <w:rsid w:val="0096219F"/>
    <w:rsid w:val="00971D68"/>
    <w:rsid w:val="00985750"/>
    <w:rsid w:val="00986D37"/>
    <w:rsid w:val="009929CF"/>
    <w:rsid w:val="00997417"/>
    <w:rsid w:val="009A21B5"/>
    <w:rsid w:val="009B1047"/>
    <w:rsid w:val="009B5563"/>
    <w:rsid w:val="009C6D02"/>
    <w:rsid w:val="009D3CB7"/>
    <w:rsid w:val="009D40C2"/>
    <w:rsid w:val="009F5E38"/>
    <w:rsid w:val="009F65DF"/>
    <w:rsid w:val="009F6A3B"/>
    <w:rsid w:val="009F6A99"/>
    <w:rsid w:val="00A006C9"/>
    <w:rsid w:val="00A02F79"/>
    <w:rsid w:val="00A078B4"/>
    <w:rsid w:val="00A12162"/>
    <w:rsid w:val="00A1458C"/>
    <w:rsid w:val="00A148C2"/>
    <w:rsid w:val="00A17073"/>
    <w:rsid w:val="00A21C7D"/>
    <w:rsid w:val="00A22DD9"/>
    <w:rsid w:val="00A344E9"/>
    <w:rsid w:val="00A378FF"/>
    <w:rsid w:val="00A5063F"/>
    <w:rsid w:val="00A51D88"/>
    <w:rsid w:val="00A61FCB"/>
    <w:rsid w:val="00A62584"/>
    <w:rsid w:val="00A65064"/>
    <w:rsid w:val="00A7099B"/>
    <w:rsid w:val="00A80669"/>
    <w:rsid w:val="00A82CB4"/>
    <w:rsid w:val="00A82EF6"/>
    <w:rsid w:val="00A8438D"/>
    <w:rsid w:val="00A84D68"/>
    <w:rsid w:val="00A85806"/>
    <w:rsid w:val="00A85D76"/>
    <w:rsid w:val="00A92512"/>
    <w:rsid w:val="00A96495"/>
    <w:rsid w:val="00AB1CBD"/>
    <w:rsid w:val="00AB2688"/>
    <w:rsid w:val="00AD28D8"/>
    <w:rsid w:val="00AD53E3"/>
    <w:rsid w:val="00AE2E4E"/>
    <w:rsid w:val="00AE5283"/>
    <w:rsid w:val="00AF3F65"/>
    <w:rsid w:val="00AF5D01"/>
    <w:rsid w:val="00B05CD1"/>
    <w:rsid w:val="00B05DAC"/>
    <w:rsid w:val="00B07877"/>
    <w:rsid w:val="00B17D2C"/>
    <w:rsid w:val="00B2573D"/>
    <w:rsid w:val="00B27545"/>
    <w:rsid w:val="00B2776A"/>
    <w:rsid w:val="00B314ED"/>
    <w:rsid w:val="00B3320D"/>
    <w:rsid w:val="00B35659"/>
    <w:rsid w:val="00B65B33"/>
    <w:rsid w:val="00B7165E"/>
    <w:rsid w:val="00B74423"/>
    <w:rsid w:val="00B749B0"/>
    <w:rsid w:val="00B913CD"/>
    <w:rsid w:val="00B9565A"/>
    <w:rsid w:val="00B969C5"/>
    <w:rsid w:val="00BB03F9"/>
    <w:rsid w:val="00BB2ED4"/>
    <w:rsid w:val="00BB653A"/>
    <w:rsid w:val="00BB6E90"/>
    <w:rsid w:val="00BC087A"/>
    <w:rsid w:val="00BC3B50"/>
    <w:rsid w:val="00BC7234"/>
    <w:rsid w:val="00BD3B29"/>
    <w:rsid w:val="00BE1608"/>
    <w:rsid w:val="00BE175A"/>
    <w:rsid w:val="00BE58A7"/>
    <w:rsid w:val="00BF0B5B"/>
    <w:rsid w:val="00C01336"/>
    <w:rsid w:val="00C047F4"/>
    <w:rsid w:val="00C1025E"/>
    <w:rsid w:val="00C155C0"/>
    <w:rsid w:val="00C2397E"/>
    <w:rsid w:val="00C33C9A"/>
    <w:rsid w:val="00C45A62"/>
    <w:rsid w:val="00C47890"/>
    <w:rsid w:val="00C63A0F"/>
    <w:rsid w:val="00C661CF"/>
    <w:rsid w:val="00C7347B"/>
    <w:rsid w:val="00C75C73"/>
    <w:rsid w:val="00C8077D"/>
    <w:rsid w:val="00C93B27"/>
    <w:rsid w:val="00CA475B"/>
    <w:rsid w:val="00CA7419"/>
    <w:rsid w:val="00CB0A9B"/>
    <w:rsid w:val="00CB37AE"/>
    <w:rsid w:val="00CB627B"/>
    <w:rsid w:val="00CB6DCE"/>
    <w:rsid w:val="00CD24DD"/>
    <w:rsid w:val="00CD7A14"/>
    <w:rsid w:val="00CE4174"/>
    <w:rsid w:val="00CE75F3"/>
    <w:rsid w:val="00CF3289"/>
    <w:rsid w:val="00CF6905"/>
    <w:rsid w:val="00D00315"/>
    <w:rsid w:val="00D057BF"/>
    <w:rsid w:val="00D07A76"/>
    <w:rsid w:val="00D1646B"/>
    <w:rsid w:val="00D23A25"/>
    <w:rsid w:val="00D2658D"/>
    <w:rsid w:val="00D27E4D"/>
    <w:rsid w:val="00D345D9"/>
    <w:rsid w:val="00D349A1"/>
    <w:rsid w:val="00D37980"/>
    <w:rsid w:val="00D43299"/>
    <w:rsid w:val="00D55675"/>
    <w:rsid w:val="00D6172E"/>
    <w:rsid w:val="00D63779"/>
    <w:rsid w:val="00D656A6"/>
    <w:rsid w:val="00D746EC"/>
    <w:rsid w:val="00D9035F"/>
    <w:rsid w:val="00DA1003"/>
    <w:rsid w:val="00DA1699"/>
    <w:rsid w:val="00DA5F80"/>
    <w:rsid w:val="00DC0C2B"/>
    <w:rsid w:val="00DC1721"/>
    <w:rsid w:val="00DC1A7A"/>
    <w:rsid w:val="00DC1B7B"/>
    <w:rsid w:val="00DC1D4A"/>
    <w:rsid w:val="00DC3634"/>
    <w:rsid w:val="00DC655A"/>
    <w:rsid w:val="00DD046F"/>
    <w:rsid w:val="00DD41D9"/>
    <w:rsid w:val="00DE030E"/>
    <w:rsid w:val="00DE14E2"/>
    <w:rsid w:val="00DE1809"/>
    <w:rsid w:val="00E00BAB"/>
    <w:rsid w:val="00E06A1B"/>
    <w:rsid w:val="00E111F9"/>
    <w:rsid w:val="00E11B5E"/>
    <w:rsid w:val="00E13CF6"/>
    <w:rsid w:val="00E14032"/>
    <w:rsid w:val="00E144AF"/>
    <w:rsid w:val="00E17C9A"/>
    <w:rsid w:val="00E2527C"/>
    <w:rsid w:val="00E267EC"/>
    <w:rsid w:val="00E36CBC"/>
    <w:rsid w:val="00E36E65"/>
    <w:rsid w:val="00E411AB"/>
    <w:rsid w:val="00E5224C"/>
    <w:rsid w:val="00E551C3"/>
    <w:rsid w:val="00E61391"/>
    <w:rsid w:val="00E641D8"/>
    <w:rsid w:val="00E70CA2"/>
    <w:rsid w:val="00E71A5A"/>
    <w:rsid w:val="00E75DDC"/>
    <w:rsid w:val="00E81524"/>
    <w:rsid w:val="00E8264E"/>
    <w:rsid w:val="00E8342F"/>
    <w:rsid w:val="00E87B04"/>
    <w:rsid w:val="00E95DBB"/>
    <w:rsid w:val="00EC2B19"/>
    <w:rsid w:val="00EC5E46"/>
    <w:rsid w:val="00ED57A7"/>
    <w:rsid w:val="00EE2D02"/>
    <w:rsid w:val="00EE7151"/>
    <w:rsid w:val="00EF0BEA"/>
    <w:rsid w:val="00EF2234"/>
    <w:rsid w:val="00EF2BE0"/>
    <w:rsid w:val="00EF4C5E"/>
    <w:rsid w:val="00F01688"/>
    <w:rsid w:val="00F308F0"/>
    <w:rsid w:val="00F346C5"/>
    <w:rsid w:val="00F426D9"/>
    <w:rsid w:val="00F663B4"/>
    <w:rsid w:val="00F678F2"/>
    <w:rsid w:val="00F7191F"/>
    <w:rsid w:val="00F74262"/>
    <w:rsid w:val="00F75404"/>
    <w:rsid w:val="00F82CC3"/>
    <w:rsid w:val="00F866EB"/>
    <w:rsid w:val="00F94870"/>
    <w:rsid w:val="00F9505D"/>
    <w:rsid w:val="00F95145"/>
    <w:rsid w:val="00FA4C06"/>
    <w:rsid w:val="00FB1958"/>
    <w:rsid w:val="00FB5459"/>
    <w:rsid w:val="00FC017C"/>
    <w:rsid w:val="00FC2B06"/>
    <w:rsid w:val="00FC4A9E"/>
    <w:rsid w:val="00FD333C"/>
    <w:rsid w:val="00FE724C"/>
    <w:rsid w:val="00FF03E0"/>
    <w:rsid w:val="00FF0B37"/>
    <w:rsid w:val="141F2220"/>
    <w:rsid w:val="22F07AE2"/>
    <w:rsid w:val="3BF7B6C8"/>
    <w:rsid w:val="6C901BBE"/>
    <w:rsid w:val="6DEA1CCF"/>
    <w:rsid w:val="6F7F406F"/>
    <w:rsid w:val="7FFF51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kern w:val="2"/>
      <w:sz w:val="18"/>
      <w:szCs w:val="18"/>
    </w:rPr>
  </w:style>
  <w:style w:type="character" w:customStyle="1" w:styleId="8">
    <w:name w:val="页眉 字符"/>
    <w:link w:val="4"/>
    <w:qFormat/>
    <w:uiPriority w:val="0"/>
    <w:rPr>
      <w:kern w:val="2"/>
      <w:sz w:val="18"/>
      <w:szCs w:val="18"/>
    </w:rPr>
  </w:style>
  <w:style w:type="character" w:customStyle="1" w:styleId="9">
    <w:name w:val="font01"/>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8</Pages>
  <Words>1184</Words>
  <Characters>6753</Characters>
  <Lines>56</Lines>
  <Paragraphs>15</Paragraphs>
  <TotalTime>54</TotalTime>
  <ScaleCrop>false</ScaleCrop>
  <LinksUpToDate>false</LinksUpToDate>
  <CharactersWithSpaces>7922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2023-09-01T18:51:00Z</dcterms:created>
  <dc:creator>刘晓红</dc:creator>
  <cp:lastModifiedBy>游游</cp:lastModifiedBy>
  <cp:lastPrinted>2020-10-20T13:30:00Z</cp:lastPrinted>
  <dcterms:modified xsi:type="dcterms:W3CDTF">2023-11-21T01:47:15Z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18EAE943F2024C5C89C59AE2DA9A1A36_13</vt:lpwstr>
  </property>
</Properties>
</file>