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/>
        </w:rPr>
      </w:pPr>
      <w:bookmarkStart w:id="0" w:name="_Toc454360978"/>
      <w:r>
        <w:rPr>
          <w:rStyle w:val="6"/>
          <w:rFonts w:hint="eastAsia"/>
        </w:rPr>
        <w:t>上海政法学院研究生教学事故认定与处理办法</w:t>
      </w:r>
      <w:bookmarkEnd w:id="0"/>
    </w:p>
    <w:p>
      <w:pPr>
        <w:jc w:val="center"/>
        <w:rPr>
          <w:rStyle w:val="6"/>
          <w:rFonts w:hint="eastAsia"/>
        </w:rPr>
      </w:pP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教学是研究生培养工作的重要环节，直接影响研究生的培养质量。为规范我校硕士研究生教学管理工作，特制订本办法。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一、研究生教学事故的认定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研究生教学事故是指在研究生教学活动及其相关工作中，由于教师或工作人员直接或间接的责任，导致正常教学秩序、教学进程或教学质量受到影响，并造成不良后果的各种责任事故行为。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研究生教学事故依据其情节和造成的后果分为：Ⅰ级事故、Ⅱ级事故和Ⅲ级事故三个等级。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（一）Ⅰ级事故（重大教学事故）是指在教学活动及其相关工作中，由于责任人直接或间接的责任，导致正常教学秩序、教学进程或教学质量受到重大影响，并造成严重后果的行为。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（二）Ⅱ级事故（严重教学事故）是指在教学活动及其相关工作中，由于责任人直接或间接的责任，导致正常教学秩序、教学进程或教学质量受到严重影响，并造成较严重后果的行为。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（三）Ⅲ级事故（一般教学事故）是指在教学活动及其相关工作中，由于责任人直接或间接的责任，导致正常教学秩序、教学进程或教学质量受到一定影响，并造成不良后果的行为。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二、研究生教学事故认定程序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一）研究生教学事故由研究生处负责认定。责任人、发现人或知情人在发现有关事故情形后，应及时向研究生处报告。研究生处查实后按一次一表的方式作好记录，并在一周内将“教学事故记录表”发至责任人所在部门。“教学事故记录表”应明确列出责任人（一人或多人）。有关负责人对本部门事故隐瞒者，或教学检查人员对发现的事故拖延不报者，应列为责任人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>（二）</w:t>
      </w:r>
      <w:r>
        <w:rPr>
          <w:rFonts w:hint="eastAsia" w:ascii="宋体" w:hAnsi="宋体" w:cs="宋体"/>
          <w:color w:val="000000"/>
          <w:kern w:val="0"/>
          <w:szCs w:val="22"/>
          <w:lang w:bidi="ar"/>
        </w:rPr>
        <w:t>责任人所在部门在接到“教学事故记录表”后，应立即了解事故情况，在一周内将“教学事故记录表”送交研究生处。事故责任人可书面陈述有关情况。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（三）研究生处根据事故情况，依据本办法认定研究生教学事故。Ⅲ级事故由研究生处处长核定；Ⅱ级事故报主管院长核定；Ⅰ级事故报校长核定。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（四）若责任人对事故的认定与处理有不同意见，可在接到教学事故处理决定之日起7个工作日内，向研究生处提出书面申诉。申诉及复核期间，不影响原处理决定的执行。研究生处对申诉进行复核，并在接到书面申诉之日起15个工作日内，做出结论。</w:t>
      </w:r>
      <w:bookmarkStart w:id="1" w:name="_Toc167679991"/>
      <w:bookmarkEnd w:id="1"/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三、研究生教学事故的处理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>（一）</w:t>
      </w:r>
      <w:r>
        <w:rPr>
          <w:rFonts w:hint="eastAsia" w:ascii="宋体" w:hAnsi="宋体" w:cs="宋体"/>
          <w:color w:val="000000"/>
          <w:kern w:val="0"/>
          <w:szCs w:val="22"/>
          <w:lang w:bidi="ar"/>
        </w:rPr>
        <w:t>Ⅲ级事故的处理：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1、科室等部门内通报批评；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2、事故责任人不能参加当年度先进评选；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3、在事故责任人当年度考核时扣除5分/次。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>（二）</w:t>
      </w:r>
      <w:r>
        <w:rPr>
          <w:rFonts w:hint="eastAsia" w:ascii="宋体" w:hAnsi="宋体" w:cs="宋体"/>
          <w:color w:val="000000"/>
          <w:kern w:val="0"/>
          <w:szCs w:val="22"/>
          <w:lang w:bidi="ar"/>
        </w:rPr>
        <w:t>Ⅱ级事故的处理：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1、系、部、处、室等部门内通报批评；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2、事故责任人不能参加当年度先进评选；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3、在事故责任人当年度考核时扣除10分/次。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>（三）</w:t>
      </w:r>
      <w:r>
        <w:rPr>
          <w:rFonts w:hint="eastAsia" w:ascii="宋体" w:hAnsi="宋体" w:cs="宋体"/>
          <w:color w:val="000000"/>
          <w:kern w:val="0"/>
          <w:szCs w:val="22"/>
          <w:lang w:bidi="ar"/>
        </w:rPr>
        <w:t>Ⅰ级事故的处理：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1、全院通报批评；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2、事故责任人不能参加当年度先进评选，取消当年度职务、职称晋升资格；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3、在事故责任人当年度考核时扣除30分/次。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r>
        <w:rPr>
          <w:rFonts w:hint="eastAsia" w:ascii="宋体" w:hAnsi="宋体" w:cs="宋体"/>
          <w:color w:val="000000"/>
          <w:kern w:val="0"/>
          <w:szCs w:val="22"/>
          <w:lang w:bidi="ar"/>
        </w:rPr>
        <w:t>4、对认识态度差，影响恶劣，造成严重后果的事故责任人，建议有关部门给予相应的行政纪律处分、调离工作岗位或解聘。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四、附 则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cs="宋体"/>
          <w:bCs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>教学事故处理的文件一式三份，一份留存研究生处，一份送责任人所在部门，另一份送人事处，作为考核、评聘、晋级等工作的依据。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cs="宋体"/>
          <w:bCs/>
          <w:color w:val="000000"/>
          <w:kern w:val="0"/>
          <w:szCs w:val="22"/>
        </w:rPr>
      </w:pPr>
      <w:r>
        <w:rPr>
          <w:rFonts w:hint="eastAsia" w:ascii="宋体" w:cs="宋体"/>
          <w:bCs/>
          <w:color w:val="000000"/>
          <w:kern w:val="0"/>
          <w:szCs w:val="22"/>
          <w:lang w:bidi="ar"/>
        </w:rPr>
        <w:t xml:space="preserve">本规定由研究生处负责解释。 </w:t>
      </w:r>
    </w:p>
    <w:p>
      <w:r>
        <w:br w:type="page"/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cs="宋体"/>
          <w:color w:val="000000"/>
          <w:kern w:val="0"/>
          <w:szCs w:val="22"/>
        </w:rPr>
      </w:pPr>
      <w:bookmarkStart w:id="2" w:name="_Toc167679992"/>
      <w:bookmarkEnd w:id="2"/>
      <w:r>
        <w:rPr>
          <w:rFonts w:hint="eastAsia" w:ascii="宋体" w:hAnsi="宋体" w:cs="宋体"/>
          <w:color w:val="000000"/>
          <w:kern w:val="0"/>
          <w:szCs w:val="22"/>
          <w:lang w:bidi="ar"/>
        </w:rPr>
        <w:t>附：</w:t>
      </w:r>
      <w:bookmarkStart w:id="3" w:name="_Toc167679993"/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color w:val="000000"/>
          <w:kern w:val="0"/>
          <w:szCs w:val="22"/>
        </w:rPr>
      </w:pPr>
      <w:r>
        <w:rPr>
          <w:rFonts w:hint="eastAsia" w:ascii="宋体" w:hAnsi="宋体" w:cs="宋体"/>
          <w:b/>
          <w:color w:val="000000"/>
          <w:kern w:val="0"/>
          <w:szCs w:val="22"/>
          <w:lang w:bidi="ar"/>
        </w:rPr>
        <w:t>教学事故分类与等级表</w:t>
      </w:r>
      <w:bookmarkEnd w:id="3"/>
    </w:p>
    <w:tbl>
      <w:tblPr>
        <w:tblStyle w:val="5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425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一．教学类事故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1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在教学活动中散布违反四项基本原则的言论；或出现违背教师基本职业道德规范的言行，造成恶劣影响的。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Ⅰ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未经批准，未完成教学任务的。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并非不可抗拒的原因上课迟到10分钟以上，或提早下课5分钟以上的。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并非不可抗拒的原因擅自缺课的。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未按规定程序办理手续，擅自变动上课时间、地点或由别人代课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6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教师在上课或其他教学活动中使用通讯工具，影响教学的；或教师无特殊原因擅离课堂10分钟以上。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7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未经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学位点</w:t>
            </w:r>
            <w:r>
              <w:rPr>
                <w:rFonts w:hint="eastAsia" w:ascii="宋体" w:hAnsi="宋体" w:cs="宋体"/>
                <w:lang w:bidi="ar"/>
              </w:rPr>
              <w:t>同意，舍弃教学大纲规定的课程内容1/4以上的。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B．考试与成绩管理类事故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1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考试命题违反规定或试题出错：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1）影响考试正常进行的；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2）致使考试无法正常进行或严重影响学生考试成绩的。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2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试卷命题、印刷、传送、存放等过程中，泄露试题：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1）过失造成试题泄密，但及时采取补救措施，未影响考试正常进行的；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2）过失泄题，责任人未及时采取补救措施，影响考试正常进行的；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3）故意泄题的。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Ⅰ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3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考试（或课程论文）评分后，无法提供学生考卷（课程论文）：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1）1～4份的；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2）5份以上的；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3）在试卷抽查时，有关部门责任人不能提交有关抽查材料5份以上的。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4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监考教师没有履行职责的，或在监考过程中有聊天、听耳机、看书报等不尽职行为的。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5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主、监考教师对考场中违纪或作弊事件隐匿不报的。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6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擅自改变考试时间或延长考试时间10分钟以上的。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7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在考场上向学生提示考试答案的。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Style w:val="4"/>
                <w:rFonts w:hint="eastAsia" w:ascii="宋体" w:hAnsi="宋体" w:cs="宋体"/>
                <w:b w:val="0"/>
                <w:lang w:bidi="ar"/>
              </w:rPr>
              <w:t>8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试卷试题或标准答案出错：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1）5%～14%的；</w:t>
            </w:r>
          </w:p>
          <w:p>
            <w:pPr>
              <w:spacing w:before="3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2）15%以上的。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Ⅲ</w:t>
            </w:r>
          </w:p>
          <w:p>
            <w:pPr>
              <w:spacing w:before="31"/>
              <w:jc w:val="center"/>
              <w:rPr>
                <w:rFonts w:hint="eastAsia" w:ascii="宋体" w:hAnsi="宋体" w:cs="宋体"/>
              </w:rPr>
            </w:pPr>
            <w:r>
              <w:rPr>
                <w:rStyle w:val="4"/>
                <w:rFonts w:hint="eastAsia" w:ascii="宋体" w:hAnsi="宋体" w:cs="宋体"/>
                <w:lang w:bidi="ar"/>
              </w:rPr>
              <w:t>Ⅱ</w:t>
            </w:r>
            <w:r>
              <w:rPr>
                <w:rFonts w:hint="eastAsia" w:ascii="宋体" w:hAnsi="宋体" w:cs="Arial"/>
                <w:kern w:val="0"/>
                <w:lang w:bidi="ar"/>
              </w:rPr>
              <w:t xml:space="preserve"> </w:t>
            </w:r>
          </w:p>
        </w:tc>
      </w:tr>
    </w:tbl>
    <w:p>
      <w:pPr>
        <w:ind w:firstLine="482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bidi="ar"/>
        </w:rPr>
        <w:t xml:space="preserve"> 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3195"/>
    <w:rsid w:val="614E3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after="140"/>
      <w:jc w:val="center"/>
      <w:outlineLvl w:val="0"/>
    </w:pPr>
    <w:rPr>
      <w:rFonts w:ascii="Calibri Light" w:hAnsi="Calibri Light"/>
      <w:b/>
      <w:bCs/>
      <w:sz w:val="36"/>
      <w:szCs w:val="32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标题 Char"/>
    <w:link w:val="2"/>
    <w:qFormat/>
    <w:uiPriority w:val="99"/>
    <w:rPr>
      <w:rFonts w:ascii="Calibri Light" w:hAnsi="Calibri Light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2017-05-16T07:38:00Z</dcterms:created>
  <dc:creator>lenovo</dc:creator>
  <cp:lastModifiedBy>lenovo</cp:lastModifiedBy>
  <dcterms:modified xsi:type="dcterms:W3CDTF">2017-05-16T08:07:37Z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