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600" w:afterAutospacing="0"/>
        <w:ind w:left="0" w:right="0"/>
        <w:jc w:val="center"/>
        <w:rPr>
          <w:rFonts w:hint="eastAsia" w:ascii="华文中宋" w:hAnsi="华文中宋" w:eastAsia="华文中宋" w:cs="华文中宋"/>
          <w:b w:val="0"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sz w:val="36"/>
          <w:szCs w:val="36"/>
          <w:bdr w:val="none" w:color="auto" w:sz="0" w:space="0"/>
        </w:rPr>
        <w:t>2019年度国家体育总局决策咨询研究项目目录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黑体" w:hAnsi="黑体" w:eastAsia="黑体" w:cs="黑体"/>
          <w:i w:val="0"/>
          <w:caps w:val="0"/>
          <w:color w:val="2F2F2F"/>
          <w:spacing w:val="0"/>
          <w:sz w:val="30"/>
          <w:szCs w:val="30"/>
        </w:rPr>
      </w:pPr>
      <w:r>
        <w:rPr>
          <w:rStyle w:val="5"/>
          <w:rFonts w:hint="eastAsia" w:ascii="黑体" w:hAnsi="黑体" w:eastAsia="黑体" w:cs="黑体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一、重大项目（11个）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（一）习近平总书记关于体育的重要论述研究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（二）历代党和国家领导人体育观研究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（三）奥运冠军成长规律研究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（四）群众“健身难”问题破解路径研究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（五）我国备战奥运会经验的系统梳理与现实启示研究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（六）“恶补体能训练短板”研究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（七）足球改革发展进程中深层次制约因素对策研究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（八）2022年北京冬奥会我国重点项目、潜在优势项目备战策略研究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（九）深化改革背景下全国性单项体育协会治理机制研究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（十）构建我国体育市场监管体系研究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（十一）新时代体育事业发展综合评价体系研究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left"/>
        <w:rPr>
          <w:rStyle w:val="5"/>
          <w:rFonts w:hint="eastAsia" w:ascii="黑体" w:hAnsi="黑体" w:eastAsia="黑体" w:cs="黑体"/>
          <w:i w:val="0"/>
          <w:caps w:val="0"/>
          <w:color w:val="2F2F2F"/>
          <w:spacing w:val="0"/>
          <w:sz w:val="30"/>
          <w:szCs w:val="30"/>
          <w:shd w:val="clear" w:fill="FFFFFF"/>
        </w:rPr>
      </w:pPr>
      <w:r>
        <w:rPr>
          <w:rStyle w:val="5"/>
          <w:rFonts w:hint="eastAsia" w:ascii="黑体" w:hAnsi="黑体" w:eastAsia="黑体" w:cs="黑体"/>
          <w:i w:val="0"/>
          <w:caps w:val="0"/>
          <w:color w:val="2F2F2F"/>
          <w:spacing w:val="0"/>
          <w:sz w:val="30"/>
          <w:szCs w:val="30"/>
          <w:shd w:val="clear" w:fill="FFFFFF"/>
        </w:rPr>
        <w:t>二、重点项目（25个）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shd w:val="clear" w:fill="FFFFFF"/>
        </w:rPr>
        <w:t>（一）我国备战参赛2022年亚运会</w:t>
      </w: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“杭州计划”研究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（二）国家队教练员聘用和激励机制改革研究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（三）新时代优秀运动队思想政治工作研究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（四）我国冰雪项目后备人才培养保障政策设计研究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（五）提升基层体育协会服务社会能力研究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（六）新时代青少年体育后备人才培养模式研究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（七）体育赛事“一站式”服务机制研究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（八）新兴体育项目管理有关问题研究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（九）地方单项体育协会实体化改革路径研究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（十）地方足球治理体系研究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（十一）乡村体育振兴融合发展路径与策略研究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（十二）体育市场“黑名单”制度建设与组织实施研究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（十三）体育产业与文旅产业融合发展研究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（十四）健康中国战略下体育产业与健康产业融合发展机制研究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（十五）区域体育协同发展机制研究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（十六）东北振兴背景下东北三省冰雪运动发展研究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（十七）地方备战北京冬奥会的人才保障机制研究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（十八）民族民间民俗体育文化挖掘与传承研究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（十九）群众性体育赛事治理机制创新研究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（二十）“一带一路”沿线国家武术国际传播方略研究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（二十一）完善国家体育市场管理法律制度研究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（二十二）健康中国背景下健身气功中长期发展规划研究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（二十三）完善体育行政处罚法律规范研究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（二十四）我国职业足球青训与校园足球衔接体系研究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（二十五）新时代我国体育法治框架体系研究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left"/>
        <w:rPr>
          <w:rStyle w:val="5"/>
          <w:rFonts w:hint="eastAsia" w:ascii="黑体" w:hAnsi="黑体" w:eastAsia="黑体" w:cs="黑体"/>
          <w:i w:val="0"/>
          <w:caps w:val="0"/>
          <w:color w:val="2F2F2F"/>
          <w:spacing w:val="0"/>
          <w:sz w:val="30"/>
          <w:szCs w:val="30"/>
          <w:shd w:val="clear" w:fill="FFFFFF"/>
        </w:rPr>
      </w:pPr>
      <w:bookmarkStart w:id="0" w:name="_GoBack"/>
      <w:r>
        <w:rPr>
          <w:rStyle w:val="5"/>
          <w:rFonts w:hint="eastAsia" w:ascii="黑体" w:hAnsi="黑体" w:eastAsia="黑体" w:cs="黑体"/>
          <w:i w:val="0"/>
          <w:caps w:val="0"/>
          <w:color w:val="2F2F2F"/>
          <w:spacing w:val="0"/>
          <w:sz w:val="30"/>
          <w:szCs w:val="30"/>
          <w:shd w:val="clear" w:fill="FFFFFF"/>
        </w:rPr>
        <w:t>三、一般项目（30）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（一）奥运备战决策咨询工作体系构建研究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（二）奥运备战及复合型团队法律保障体系研究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（三）城市马拉松旅游效应与创新发展研究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（四）我国退役运动员转型就业问题与对策研究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（五）新时代背景下社会体育指导员管理制度创新研究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（六）冬季奥运会中国体育话语权的提升策略研究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（七）英、德、法、日、加拿大等国体育ADR（替代性纠纷解决）机制比较研究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（八）乡镇（街道）体育管理体制和运行机制研究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（九）全运会场馆赛后利用研究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（十）我国体育产业发展与金融支持模式研究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（十一）我国青少年科学健身素养状况与促进策略研究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（十二）我国冰雪运动产业高质量发展内涵及标准研究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（十三）新时期提升我国体育哲学社会科学国际话语权研究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（十四）人工智能应用与体育传播方式变革研究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（十五）国际青少年身体活动促进行动框架与干预策略及其中国启示研究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（十六）大型体育场馆公共服务补贴政策的实施效果及转变方式研究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（十七）国家体育产业基地建设现状与应对路径研究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（十八）新时代退役运动员对接健身教练国家职业资格培训创新模式研究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（十九）社会力量投资运营体育场馆的政策瓶颈及其消解路径研究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（二十）健康中国视域下体医深度融合与协同发展路径研究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（二十一）中国篮球协会实体化组织运行绩效研究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（二十二）体育强国战略视域下体育国际人才培养体系建构研究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（二十三）“体育＋”在阻断贫困地区贫困代际传递中的作用研究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（二十四）体育促进乡村振兴的路径及政策研究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（二十五）基于体医融合的社区健康促进创新模式研究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（二十六）中国乒乓球发展史研究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（二十七）中国传统体育文化海外传播新模式研究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（二十八）大众科学健身指导普及性出版物研究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（二十九）体育产业促进就业的渠道与政策研究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  <w:bdr w:val="none" w:color="auto" w:sz="0" w:space="0"/>
          <w:shd w:val="clear" w:fill="FFFFFF"/>
        </w:rPr>
        <w:t>（三十）美国三大球发展镜鉴与启示研究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sz w:val="30"/>
          <w:szCs w:val="30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ans-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7254A"/>
    <w:rsid w:val="7A37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2019-02-12T13:37:00Z</dcterms:created>
  <dc:creator>Administrator</dc:creator>
  <cp:lastModifiedBy>Administrator</cp:lastModifiedBy>
  <dcterms:modified xsi:type="dcterms:W3CDTF">2019-02-12T13:38:48Z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