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小标宋_GBK" w:hAnsi="方正小标宋_GBK" w:eastAsia="方正小标宋_GBK" w:cs="方正小标宋_GBK"/>
          <w:sz w:val="30"/>
          <w:szCs w:val="30"/>
        </w:rPr>
      </w:pPr>
      <w:r>
        <w:rPr>
          <w:rFonts w:hint="eastAsia" w:ascii="方正小标宋_GBK" w:hAnsi="方正小标宋_GBK" w:eastAsia="方正小标宋_GBK" w:cs="方正小标宋_GBK"/>
          <w:sz w:val="30"/>
          <w:szCs w:val="30"/>
        </w:rPr>
        <w:t>附《青少年犯罪问题》注释体例：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一、注释方式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文章注释采用当页注，全文连续注码，注码放标点之后。注码号为①、②、③等等。相邻的两个注释若完全相同，用“同上注”，如果主体部分相同而页码不同，则后面再加注页码，如“同上注，第36页”。有间隔的两个完全相同的注释，不论是否在同一页，均写为“同前注n”加作者文或书的形式，如“同前注③，沈宗灵文”“同前注④，张友渔书”；如果主体部分相同而著作页码不同，则按上述原则做相应改变，如“同前注④，张友渔书，第63页”，等等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二、注释体例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（一）著作类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1.专著类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①《马克思恩格斯选集》第2卷，人民出版社1995年版，第84页。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②周鲠生：《国际法》上册，商务印书馆1976年版，第156页。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2.编著类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①倪世雄主编：《冲突与合作》，四川人民出版社1988年版，第71页。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（二）论文类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①何勤华：《梅汝王敖与〈远东国际军事法庭〉》，载《法学》2005年第7期。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（三）文集类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①史德保：《法学会二三事》，载上海法学会编：《探寻法治的岁月》第1集，上海人民出版社2006年版，第124页。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（四）译著类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①［德］卡尔·恩吉施：《法律思维导论》，郑永流译，法律出版社2004年版，第69页。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（五）报纸类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①王启东：《法制与法治》，载《法制日报》1989年3月2日第1版。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（六）古籍类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①《宋会要辑稿·食货》卷3。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②［清］沈家本：《沈寄移先生遗书》甲编，第43卷。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（七）辞书类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①《中国大百科全书》（法学卷），中国大百科全书出版社1985年版，第234页。</w:t>
      </w:r>
      <w:bookmarkStart w:id="0" w:name="_GoBack"/>
      <w:bookmarkEnd w:id="0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（八）外文类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①学术期刊论文、判例从有关国家注释习惯；引用著作比照引用中文著作的要求，用该著作所属的文种写明各项要素，注释例：Jeremy Philips,Trade Mark Law:A Practical Anatomy,Oxford University Press,2003,pp.84-85.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（九）其他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①非引用直接引语者，注释前加“参见”，并应注明参见页码的范围，如“第8页”“第43-46页”，等等。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②应尽可能注明原始出处，避免转引；实在不得已需要转引时，应注明“转引自”何处。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85C60A6-711D-4FC5-8CA5-1B3BD0D2A1B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63E0189-CE08-4B47-9A18-64B26188797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8AF0B31-8FB8-4825-AFB2-D959972BEC5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B3B8DA2-AFD9-4A52-B77E-02A10312D37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B07B03A-E5FC-4FD2-8CBB-3EE41C8C3557}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5936FA59-71B8-4F0C-BF91-E120BF3ACF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C4795C"/>
    <w:rsid w:val="2CC4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2022-04-24T14:05:00Z</dcterms:created>
  <dc:creator>方大鱼</dc:creator>
  <cp:lastModifiedBy>方大鱼</cp:lastModifiedBy>
  <dcterms:modified xsi:type="dcterms:W3CDTF">2022-04-24T14:08:12Z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612411280_embed</vt:lpwstr>
  </property>
</Properties>
</file>