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35"/>
        <w:gridCol w:w="1124"/>
        <w:gridCol w:w="1380"/>
        <w:gridCol w:w="1320"/>
        <w:gridCol w:w="1470"/>
        <w:gridCol w:w="3284"/>
        <w:gridCol w:w="25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382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附件2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3820" w:type="dxa"/>
            <w:gridSpan w:val="8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38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0"/>
                <w:szCs w:val="30"/>
              </w:rPr>
              <w:t>2019年上海市研究生学术论坛（法律案例分析大赛）报名汇总表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3820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33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队名</w:t>
            </w:r>
          </w:p>
        </w:tc>
        <w:tc>
          <w:tcPr>
            <w:tcW w:w="112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3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47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选定方向</w:t>
            </w:r>
          </w:p>
        </w:tc>
        <w:tc>
          <w:tcPr>
            <w:tcW w:w="328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负责人联系方式（电话+邮箱）</w:t>
            </w:r>
          </w:p>
        </w:tc>
        <w:tc>
          <w:tcPr>
            <w:tcW w:w="2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组员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2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28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5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28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5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28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5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28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5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40F59"/>
    <w:rsid w:val="4A4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2019-04-24T00:22:00Z</dcterms:created>
  <dc:creator>也也也老师</dc:creator>
  <cp:lastModifiedBy>也也也老师</cp:lastModifiedBy>
  <dcterms:modified xsi:type="dcterms:W3CDTF">2019-04-24T00:23:03Z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