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
          <w:i w:val="0"/>
          <w:color w:val="000000"/>
          <w:kern w:val="0"/>
          <w:sz w:val="36"/>
          <w:szCs w:val="36"/>
          <w:lang w:val="en-US" w:eastAsia="zh-CN" w:bidi="ar"/>
        </w:rPr>
      </w:pPr>
      <w:r>
        <w:rPr>
          <w:rFonts w:hint="eastAsia" w:ascii="宋体" w:hAnsi="宋体" w:eastAsia="宋体" w:cs="宋体"/>
          <w:b/>
          <w:i w:val="0"/>
          <w:color w:val="000000"/>
          <w:kern w:val="0"/>
          <w:sz w:val="36"/>
          <w:szCs w:val="36"/>
          <w:lang w:val="en-US" w:eastAsia="zh-CN" w:bidi="ar"/>
        </w:rPr>
        <w:t>关于开展我校法学学科</w:t>
      </w:r>
    </w:p>
    <w:p>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
          <w:i w:val="0"/>
          <w:color w:val="000000"/>
          <w:kern w:val="0"/>
          <w:sz w:val="36"/>
          <w:szCs w:val="36"/>
          <w:lang w:val="en-US" w:eastAsia="zh-CN" w:bidi="ar"/>
        </w:rPr>
      </w:pPr>
      <w:r>
        <w:rPr>
          <w:rFonts w:hint="eastAsia" w:ascii="宋体" w:hAnsi="宋体" w:eastAsia="宋体" w:cs="宋体"/>
          <w:b/>
          <w:i w:val="0"/>
          <w:color w:val="000000"/>
          <w:kern w:val="0"/>
          <w:sz w:val="36"/>
          <w:szCs w:val="36"/>
          <w:lang w:val="en-US" w:eastAsia="zh-CN" w:bidi="ar"/>
        </w:rPr>
        <w:t>二级学科硕士点增列工作的通知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jc w:val="left"/>
        <w:textAlignment w:val="auto"/>
        <w:outlineLvl w:val="9"/>
        <w:rPr>
          <w:rFonts w:hint="eastAsia" w:ascii="Calibri" w:hAnsi="Calibri" w:eastAsia="宋体" w:cs="宋体"/>
          <w:color w:val="auto"/>
          <w:kern w:val="0"/>
          <w:sz w:val="28"/>
          <w:szCs w:val="28"/>
          <w:lang w:val="en-US" w:eastAsia="zh-CN" w:bidi="ar"/>
        </w:rPr>
      </w:pPr>
      <w:r>
        <w:rPr>
          <w:rFonts w:hint="eastAsia" w:ascii="Calibri" w:hAnsi="Calibri" w:eastAsia="宋体" w:cs="宋体"/>
          <w:color w:val="auto"/>
          <w:kern w:val="0"/>
          <w:sz w:val="28"/>
          <w:szCs w:val="28"/>
          <w:lang w:val="en-US" w:eastAsia="zh-CN" w:bidi="ar"/>
        </w:rPr>
        <w:t>各法学二级学院：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jc w:val="left"/>
        <w:textAlignment w:val="auto"/>
        <w:outlineLvl w:val="9"/>
        <w:rPr>
          <w:color w:val="auto"/>
          <w:sz w:val="28"/>
          <w:szCs w:val="28"/>
        </w:rPr>
      </w:pPr>
      <w:r>
        <w:rPr>
          <w:rFonts w:hint="eastAsia" w:ascii="Calibri" w:hAnsi="Calibri" w:eastAsia="宋体" w:cs="宋体"/>
          <w:color w:val="auto"/>
          <w:kern w:val="0"/>
          <w:sz w:val="28"/>
          <w:szCs w:val="28"/>
          <w:lang w:val="en-US" w:eastAsia="zh-CN" w:bidi="ar"/>
        </w:rPr>
        <w:t>为了推动我校法学一级学科硕士点建设、顺利开展2017年硕士研究生招生工作，根据国务院学位委员会、教育部印发的《学位授予和人才培养学科目录设置与管理办法》（学位〔</w:t>
      </w:r>
      <w:r>
        <w:rPr>
          <w:rFonts w:hint="eastAsia" w:ascii="微软雅黑" w:hAnsi="微软雅黑" w:eastAsia="微软雅黑" w:cs="微软雅黑"/>
          <w:color w:val="auto"/>
          <w:kern w:val="0"/>
          <w:sz w:val="28"/>
          <w:szCs w:val="28"/>
          <w:lang w:val="en-US" w:eastAsia="zh-CN" w:bidi="ar"/>
        </w:rPr>
        <w:t>2009</w:t>
      </w:r>
      <w:r>
        <w:rPr>
          <w:rFonts w:hint="eastAsia" w:ascii="Calibri" w:hAnsi="Calibri" w:eastAsia="宋体" w:cs="宋体"/>
          <w:color w:val="auto"/>
          <w:kern w:val="0"/>
          <w:sz w:val="28"/>
          <w:szCs w:val="28"/>
          <w:lang w:val="en-US" w:eastAsia="zh-CN" w:bidi="ar"/>
        </w:rPr>
        <w:t>〕</w:t>
      </w:r>
      <w:r>
        <w:rPr>
          <w:rFonts w:hint="eastAsia" w:ascii="微软雅黑" w:hAnsi="微软雅黑" w:eastAsia="微软雅黑" w:cs="微软雅黑"/>
          <w:color w:val="auto"/>
          <w:kern w:val="0"/>
          <w:sz w:val="28"/>
          <w:szCs w:val="28"/>
          <w:lang w:val="en-US" w:eastAsia="zh-CN" w:bidi="ar"/>
        </w:rPr>
        <w:t>10</w:t>
      </w:r>
      <w:r>
        <w:rPr>
          <w:rFonts w:hint="eastAsia" w:ascii="Calibri" w:hAnsi="Calibri" w:eastAsia="宋体" w:cs="宋体"/>
          <w:color w:val="auto"/>
          <w:kern w:val="0"/>
          <w:sz w:val="28"/>
          <w:szCs w:val="28"/>
          <w:lang w:val="en-US" w:eastAsia="zh-CN" w:bidi="ar"/>
        </w:rPr>
        <w:t>号）、教育部办公厅关于《授予博士、硕士学位和培养研究生的二级学科自主设置实施细则》（教研厅</w:t>
      </w:r>
      <w:r>
        <w:rPr>
          <w:rFonts w:hint="eastAsia" w:ascii="微软雅黑" w:hAnsi="微软雅黑" w:eastAsia="微软雅黑" w:cs="微软雅黑"/>
          <w:color w:val="auto"/>
          <w:kern w:val="0"/>
          <w:sz w:val="28"/>
          <w:szCs w:val="28"/>
          <w:lang w:val="en-US" w:eastAsia="zh-CN" w:bidi="ar"/>
        </w:rPr>
        <w:t>[2010]1</w:t>
      </w:r>
      <w:r>
        <w:rPr>
          <w:rFonts w:hint="eastAsia" w:ascii="Calibri" w:hAnsi="Calibri" w:eastAsia="宋体" w:cs="宋体"/>
          <w:color w:val="auto"/>
          <w:kern w:val="0"/>
          <w:sz w:val="28"/>
          <w:szCs w:val="28"/>
          <w:lang w:val="en-US" w:eastAsia="zh-CN" w:bidi="ar"/>
        </w:rPr>
        <w:t>号）和国务院学位委员会办公室《关于做好授予博士、硕士学位和培养研究生的二级学科自主设置工作的通知》（学位办</w:t>
      </w:r>
      <w:r>
        <w:rPr>
          <w:rFonts w:hint="eastAsia" w:ascii="微软雅黑" w:hAnsi="微软雅黑" w:eastAsia="微软雅黑" w:cs="微软雅黑"/>
          <w:color w:val="auto"/>
          <w:kern w:val="0"/>
          <w:sz w:val="28"/>
          <w:szCs w:val="28"/>
          <w:lang w:val="en-US" w:eastAsia="zh-CN" w:bidi="ar"/>
        </w:rPr>
        <w:t>[2011]12</w:t>
      </w:r>
      <w:r>
        <w:rPr>
          <w:rFonts w:hint="eastAsia" w:ascii="Calibri" w:hAnsi="Calibri" w:eastAsia="宋体" w:cs="宋体"/>
          <w:color w:val="auto"/>
          <w:kern w:val="0"/>
          <w:sz w:val="28"/>
          <w:szCs w:val="28"/>
          <w:lang w:val="en-US" w:eastAsia="zh-CN" w:bidi="ar"/>
        </w:rPr>
        <w:t>号）的文件要求，学校决定启动授予硕士学位和培养研究生二级学科自主设置工作，具体安排如下：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jc w:val="left"/>
        <w:textAlignment w:val="auto"/>
        <w:outlineLvl w:val="9"/>
        <w:rPr>
          <w:color w:val="auto"/>
          <w:sz w:val="28"/>
          <w:szCs w:val="28"/>
        </w:rPr>
      </w:pPr>
      <w:r>
        <w:rPr>
          <w:rFonts w:hint="eastAsia" w:ascii="Calibri" w:hAnsi="Calibri" w:eastAsia="宋体" w:cs="宋体"/>
          <w:color w:val="auto"/>
          <w:kern w:val="0"/>
          <w:sz w:val="28"/>
          <w:szCs w:val="28"/>
          <w:lang w:val="en-US" w:eastAsia="zh-CN" w:bidi="ar"/>
        </w:rPr>
        <w:t>一、可申报学科要求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jc w:val="left"/>
        <w:textAlignment w:val="auto"/>
        <w:outlineLvl w:val="9"/>
        <w:rPr>
          <w:color w:val="auto"/>
          <w:sz w:val="28"/>
          <w:szCs w:val="28"/>
          <w:lang w:val="en-US"/>
        </w:rPr>
      </w:pPr>
      <w:r>
        <w:rPr>
          <w:rFonts w:hint="eastAsia" w:ascii="Calibri" w:hAnsi="Calibri" w:eastAsia="宋体" w:cs="宋体"/>
          <w:color w:val="auto"/>
          <w:kern w:val="0"/>
          <w:sz w:val="28"/>
          <w:szCs w:val="28"/>
          <w:lang w:val="en-US" w:eastAsia="zh-CN" w:bidi="ar"/>
        </w:rPr>
        <w:t>此次申报设置的二级学科为尚未获得硕士学位授予权的法学二级学科，</w:t>
      </w:r>
      <w:r>
        <w:rPr>
          <w:rFonts w:hint="eastAsia" w:ascii="Calibri" w:hAnsi="Calibri" w:eastAsia="宋体" w:cs="宋体"/>
          <w:b/>
          <w:bCs/>
          <w:color w:val="auto"/>
          <w:kern w:val="0"/>
          <w:sz w:val="28"/>
          <w:szCs w:val="28"/>
          <w:lang w:val="en-US" w:eastAsia="zh-CN" w:bidi="ar"/>
        </w:rPr>
        <w:t>已经取得硕士学位授予权的法学二级学科（法学理论、宪法学与行政法学、刑法学）不需要再申报。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jc w:val="left"/>
        <w:textAlignment w:val="auto"/>
        <w:outlineLvl w:val="9"/>
        <w:rPr>
          <w:color w:val="auto"/>
          <w:sz w:val="28"/>
          <w:szCs w:val="28"/>
        </w:rPr>
      </w:pPr>
      <w:r>
        <w:rPr>
          <w:rFonts w:hint="eastAsia" w:ascii="Calibri" w:hAnsi="Calibri" w:eastAsia="宋体" w:cs="宋体"/>
          <w:color w:val="auto"/>
          <w:kern w:val="0"/>
          <w:sz w:val="28"/>
          <w:szCs w:val="28"/>
          <w:lang w:val="en-US" w:eastAsia="zh-CN" w:bidi="ar"/>
        </w:rPr>
        <w:t>二、自主设置二级学科的基本条件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jc w:val="left"/>
        <w:textAlignment w:val="auto"/>
        <w:outlineLvl w:val="9"/>
        <w:rPr>
          <w:color w:val="auto"/>
          <w:sz w:val="28"/>
          <w:szCs w:val="28"/>
        </w:rPr>
      </w:pPr>
      <w:r>
        <w:rPr>
          <w:rFonts w:hint="eastAsia" w:ascii="微软雅黑" w:hAnsi="微软雅黑" w:eastAsia="微软雅黑" w:cs="微软雅黑"/>
          <w:color w:val="auto"/>
          <w:kern w:val="0"/>
          <w:sz w:val="28"/>
          <w:szCs w:val="28"/>
          <w:lang w:val="en-US" w:eastAsia="zh-CN" w:bidi="ar"/>
        </w:rPr>
        <w:t>1</w:t>
      </w:r>
      <w:r>
        <w:rPr>
          <w:rFonts w:hint="eastAsia" w:ascii="Calibri" w:hAnsi="Calibri" w:eastAsia="宋体" w:cs="宋体"/>
          <w:color w:val="auto"/>
          <w:kern w:val="0"/>
          <w:sz w:val="28"/>
          <w:szCs w:val="28"/>
          <w:lang w:val="en-US" w:eastAsia="zh-CN" w:bidi="ar"/>
        </w:rPr>
        <w:t>．学术队伍，有一支知识、年龄和专业技术职称结构均较合理的学术队伍，能开设培养研究生所需学科的系列课程。研究队伍中有一定数量的具有博士学位的专业人员。二级学科硕士点学科要求至少有</w:t>
      </w:r>
      <w:r>
        <w:rPr>
          <w:rFonts w:hint="eastAsia" w:ascii="微软雅黑" w:hAnsi="微软雅黑" w:eastAsia="微软雅黑" w:cs="微软雅黑"/>
          <w:color w:val="auto"/>
          <w:kern w:val="0"/>
          <w:sz w:val="28"/>
          <w:szCs w:val="28"/>
          <w:lang w:val="en-US" w:eastAsia="zh-CN" w:bidi="ar"/>
        </w:rPr>
        <w:t>2</w:t>
      </w:r>
      <w:r>
        <w:rPr>
          <w:rFonts w:hint="eastAsia" w:ascii="Calibri" w:hAnsi="Calibri" w:eastAsia="宋体" w:cs="宋体"/>
          <w:color w:val="auto"/>
          <w:kern w:val="0"/>
          <w:sz w:val="28"/>
          <w:szCs w:val="28"/>
          <w:lang w:val="en-US" w:eastAsia="zh-CN" w:bidi="ar"/>
        </w:rPr>
        <w:t>名</w:t>
      </w:r>
      <w:r>
        <w:rPr>
          <w:rFonts w:hint="eastAsia" w:ascii="微软雅黑" w:hAnsi="微软雅黑" w:eastAsia="微软雅黑" w:cs="微软雅黑"/>
          <w:color w:val="auto"/>
          <w:kern w:val="0"/>
          <w:sz w:val="28"/>
          <w:szCs w:val="28"/>
          <w:lang w:val="en-US" w:eastAsia="zh-CN" w:bidi="ar"/>
        </w:rPr>
        <w:t>57</w:t>
      </w:r>
      <w:r>
        <w:rPr>
          <w:rFonts w:hint="eastAsia" w:ascii="Calibri" w:hAnsi="Calibri" w:eastAsia="宋体" w:cs="宋体"/>
          <w:color w:val="auto"/>
          <w:kern w:val="0"/>
          <w:sz w:val="28"/>
          <w:szCs w:val="28"/>
          <w:lang w:val="en-US" w:eastAsia="zh-CN" w:bidi="ar"/>
        </w:rPr>
        <w:t>岁以下的教授。主要研究方向的学术梯队结构合理。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jc w:val="left"/>
        <w:textAlignment w:val="auto"/>
        <w:outlineLvl w:val="9"/>
        <w:rPr>
          <w:color w:val="auto"/>
          <w:sz w:val="28"/>
          <w:szCs w:val="28"/>
        </w:rPr>
      </w:pPr>
      <w:r>
        <w:rPr>
          <w:rFonts w:hint="eastAsia" w:ascii="微软雅黑" w:hAnsi="微软雅黑" w:eastAsia="微软雅黑" w:cs="微软雅黑"/>
          <w:color w:val="auto"/>
          <w:kern w:val="0"/>
          <w:sz w:val="28"/>
          <w:szCs w:val="28"/>
          <w:lang w:val="en-US" w:eastAsia="zh-CN" w:bidi="ar"/>
        </w:rPr>
        <w:t>2</w:t>
      </w:r>
      <w:r>
        <w:rPr>
          <w:rFonts w:hint="eastAsia" w:ascii="Calibri" w:hAnsi="Calibri" w:eastAsia="宋体" w:cs="宋体"/>
          <w:color w:val="auto"/>
          <w:kern w:val="0"/>
          <w:sz w:val="28"/>
          <w:szCs w:val="28"/>
          <w:lang w:val="en-US" w:eastAsia="zh-CN" w:bidi="ar"/>
        </w:rPr>
        <w:t>．有明确的研究方向，与所属一级学科下的其他二级学科有相近的理论基础，具有相对独立的专业知识体系，已形成若干明确的研究方向。二级学科硕士点有</w:t>
      </w:r>
      <w:r>
        <w:rPr>
          <w:rFonts w:hint="eastAsia" w:ascii="微软雅黑" w:hAnsi="微软雅黑" w:eastAsia="微软雅黑" w:cs="微软雅黑"/>
          <w:color w:val="auto"/>
          <w:kern w:val="0"/>
          <w:sz w:val="28"/>
          <w:szCs w:val="28"/>
          <w:lang w:val="en-US" w:eastAsia="zh-CN" w:bidi="ar"/>
        </w:rPr>
        <w:t>2</w:t>
      </w:r>
      <w:r>
        <w:rPr>
          <w:rFonts w:hint="eastAsia" w:ascii="Calibri" w:hAnsi="Calibri" w:eastAsia="宋体" w:cs="宋体"/>
          <w:color w:val="auto"/>
          <w:kern w:val="0"/>
          <w:sz w:val="28"/>
          <w:szCs w:val="28"/>
          <w:lang w:val="en-US" w:eastAsia="zh-CN" w:bidi="ar"/>
        </w:rPr>
        <w:t>个及以上相对稳定、特色突出、优势明显的研究方向。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jc w:val="left"/>
        <w:textAlignment w:val="auto"/>
        <w:outlineLvl w:val="9"/>
        <w:rPr>
          <w:color w:val="auto"/>
          <w:sz w:val="28"/>
          <w:szCs w:val="28"/>
        </w:rPr>
      </w:pPr>
      <w:r>
        <w:rPr>
          <w:rFonts w:hint="eastAsia" w:ascii="微软雅黑" w:hAnsi="微软雅黑" w:eastAsia="微软雅黑" w:cs="微软雅黑"/>
          <w:color w:val="auto"/>
          <w:kern w:val="0"/>
          <w:sz w:val="28"/>
          <w:szCs w:val="28"/>
          <w:lang w:val="en-US" w:eastAsia="zh-CN" w:bidi="ar"/>
        </w:rPr>
        <w:t>3</w:t>
      </w:r>
      <w:r>
        <w:rPr>
          <w:rFonts w:hint="eastAsia" w:ascii="Calibri" w:hAnsi="Calibri" w:eastAsia="宋体" w:cs="宋体"/>
          <w:color w:val="auto"/>
          <w:kern w:val="0"/>
          <w:sz w:val="28"/>
          <w:szCs w:val="28"/>
          <w:lang w:val="en-US" w:eastAsia="zh-CN" w:bidi="ar"/>
        </w:rPr>
        <w:t>．科学研究，近</w:t>
      </w:r>
      <w:r>
        <w:rPr>
          <w:rFonts w:hint="eastAsia" w:ascii="微软雅黑" w:hAnsi="微软雅黑" w:eastAsia="微软雅黑" w:cs="微软雅黑"/>
          <w:color w:val="auto"/>
          <w:kern w:val="0"/>
          <w:sz w:val="28"/>
          <w:szCs w:val="28"/>
          <w:lang w:val="en-US" w:eastAsia="zh-CN" w:bidi="ar"/>
        </w:rPr>
        <w:t>5</w:t>
      </w:r>
      <w:r>
        <w:rPr>
          <w:rFonts w:hint="eastAsia" w:ascii="Calibri" w:hAnsi="Calibri" w:eastAsia="宋体" w:cs="宋体"/>
          <w:color w:val="auto"/>
          <w:kern w:val="0"/>
          <w:sz w:val="28"/>
          <w:szCs w:val="28"/>
          <w:lang w:val="en-US" w:eastAsia="zh-CN" w:bidi="ar"/>
        </w:rPr>
        <w:t>年来有较多高水平的学术专著、论文或取得较多重要的科技成果。承担有国家、省部级科研项目，有较充足的科研经费。具有支撑学科点发展必需的学科基地，有相应的教学、科学研究机构、研究生实习基地、场地与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jc w:val="left"/>
        <w:textAlignment w:val="auto"/>
        <w:outlineLvl w:val="9"/>
        <w:rPr>
          <w:color w:val="auto"/>
          <w:sz w:val="28"/>
          <w:szCs w:val="28"/>
        </w:rPr>
      </w:pPr>
      <w:r>
        <w:rPr>
          <w:rFonts w:hint="eastAsia" w:ascii="微软雅黑" w:hAnsi="微软雅黑" w:eastAsia="微软雅黑" w:cs="微软雅黑"/>
          <w:color w:val="auto"/>
          <w:kern w:val="0"/>
          <w:sz w:val="28"/>
          <w:szCs w:val="28"/>
          <w:lang w:val="en-US" w:eastAsia="zh-CN" w:bidi="ar"/>
        </w:rPr>
        <w:t>4</w:t>
      </w:r>
      <w:r>
        <w:rPr>
          <w:rFonts w:hint="eastAsia" w:ascii="Calibri" w:hAnsi="Calibri" w:eastAsia="宋体" w:cs="宋体"/>
          <w:color w:val="auto"/>
          <w:kern w:val="0"/>
          <w:sz w:val="28"/>
          <w:szCs w:val="28"/>
          <w:lang w:val="en-US" w:eastAsia="zh-CN" w:bidi="ar"/>
        </w:rPr>
        <w:t>．培养工作，已制定本学科较为科学、合理的培养方案。有培养研究生的辅助设施和必要的中外文图书资料。</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仿宋_GB2312" w:hAnsi="宋体" w:eastAsia="仿宋_GB2312" w:cs="仿宋_GB2312"/>
          <w:i w:val="0"/>
          <w:color w:val="auto"/>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jc w:val="both"/>
        <w:textAlignment w:val="auto"/>
        <w:outlineLvl w:val="9"/>
        <w:rPr>
          <w:rFonts w:hint="eastAsia" w:ascii="Calibri" w:hAnsi="Calibri" w:eastAsia="宋体" w:cs="宋体"/>
          <w:color w:val="auto"/>
          <w:kern w:val="0"/>
          <w:sz w:val="28"/>
          <w:szCs w:val="28"/>
          <w:lang w:val="en-US" w:eastAsia="zh-CN" w:bidi="ar"/>
        </w:rPr>
      </w:pPr>
      <w:r>
        <w:rPr>
          <w:rFonts w:hint="eastAsia" w:ascii="Calibri" w:hAnsi="Calibri" w:eastAsia="宋体" w:cs="宋体"/>
          <w:color w:val="auto"/>
          <w:kern w:val="0"/>
          <w:sz w:val="28"/>
          <w:szCs w:val="28"/>
          <w:lang w:val="en-US" w:eastAsia="zh-CN" w:bidi="ar"/>
        </w:rPr>
        <w:t>请符合条件的法学二级学院按照要求填写附件中的《上海政法学院法学学科二级学科硕士点申报书》，申报书请务必于9月18日下午14点前上交，纸质版一式7份提</w:t>
      </w:r>
      <w:bookmarkStart w:id="0" w:name="_GoBack"/>
      <w:bookmarkEnd w:id="0"/>
      <w:r>
        <w:rPr>
          <w:rFonts w:hint="eastAsia" w:ascii="Calibri" w:hAnsi="Calibri" w:eastAsia="宋体" w:cs="宋体"/>
          <w:color w:val="auto"/>
          <w:kern w:val="0"/>
          <w:sz w:val="28"/>
          <w:szCs w:val="28"/>
          <w:lang w:val="en-US" w:eastAsia="zh-CN" w:bidi="ar"/>
        </w:rPr>
        <w:t>交至B1-303，电子版请发至邮箱495534132@qq.com或yanjiusheng@shupl.edu.cn。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jc w:val="left"/>
        <w:textAlignment w:val="auto"/>
        <w:outlineLvl w:val="9"/>
        <w:rPr>
          <w:rFonts w:hint="eastAsia" w:ascii="Calibri" w:hAnsi="Calibri" w:eastAsia="宋体" w:cs="宋体"/>
          <w:color w:val="auto"/>
          <w:kern w:val="0"/>
          <w:sz w:val="28"/>
          <w:szCs w:val="28"/>
          <w:lang w:val="en-US" w:eastAsia="zh-CN" w:bidi="ar"/>
        </w:rPr>
      </w:pPr>
      <w:r>
        <w:rPr>
          <w:rFonts w:hint="eastAsia" w:ascii="Calibri" w:hAnsi="Calibri" w:eastAsia="宋体" w:cs="宋体"/>
          <w:color w:val="auto"/>
          <w:kern w:val="0"/>
          <w:sz w:val="28"/>
          <w:szCs w:val="28"/>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jc w:val="left"/>
        <w:textAlignment w:val="auto"/>
        <w:outlineLvl w:val="9"/>
        <w:rPr>
          <w:rFonts w:hint="eastAsia" w:ascii="宋体" w:hAnsi="宋体" w:eastAsia="宋体" w:cs="宋体"/>
          <w:b/>
          <w:i w:val="0"/>
          <w:color w:val="auto"/>
          <w:kern w:val="0"/>
          <w:sz w:val="28"/>
          <w:szCs w:val="28"/>
          <w:lang w:val="en-US" w:eastAsia="zh-CN" w:bidi="ar"/>
        </w:rPr>
      </w:pPr>
      <w:r>
        <w:rPr>
          <w:rFonts w:hint="eastAsia" w:ascii="Calibri" w:hAnsi="Calibri" w:eastAsia="宋体" w:cs="宋体"/>
          <w:color w:val="auto"/>
          <w:kern w:val="0"/>
          <w:sz w:val="28"/>
          <w:szCs w:val="28"/>
          <w:lang w:val="en-US" w:eastAsia="zh-CN" w:bidi="ar"/>
        </w:rPr>
        <w:t xml:space="preserve">  </w:t>
      </w:r>
      <w:r>
        <w:rPr>
          <w:rFonts w:hint="default" w:ascii="Calibri" w:hAnsi="Calibri" w:eastAsia="宋体" w:cs="宋体"/>
          <w:color w:val="auto"/>
          <w:kern w:val="0"/>
          <w:sz w:val="28"/>
          <w:szCs w:val="28"/>
          <w:lang w:val="en-US" w:eastAsia="zh-CN" w:bidi="ar"/>
        </w:rPr>
        <w:t>联系人：何也</w:t>
      </w:r>
      <w:r>
        <w:rPr>
          <w:rFonts w:hint="default" w:ascii="Calibri" w:hAnsi="Calibri" w:eastAsia="宋体" w:cs="宋体"/>
          <w:color w:val="auto"/>
          <w:kern w:val="0"/>
          <w:sz w:val="28"/>
          <w:szCs w:val="28"/>
          <w:lang w:val="en-US" w:eastAsia="zh-CN" w:bidi="ar"/>
        </w:rPr>
        <w:br w:type="textWrapping"/>
      </w:r>
      <w:r>
        <w:rPr>
          <w:rFonts w:hint="default" w:ascii="Calibri" w:hAnsi="Calibri" w:eastAsia="宋体" w:cs="宋体"/>
          <w:color w:val="auto"/>
          <w:kern w:val="0"/>
          <w:sz w:val="28"/>
          <w:szCs w:val="28"/>
          <w:lang w:val="en-US" w:eastAsia="zh-CN" w:bidi="ar"/>
        </w:rPr>
        <w:t>   </w:t>
      </w:r>
      <w:r>
        <w:rPr>
          <w:rFonts w:hint="eastAsia" w:ascii="Calibri" w:hAnsi="Calibri" w:eastAsia="宋体" w:cs="宋体"/>
          <w:color w:val="auto"/>
          <w:kern w:val="0"/>
          <w:sz w:val="28"/>
          <w:szCs w:val="28"/>
          <w:lang w:val="en-US" w:eastAsia="zh-CN" w:bidi="ar"/>
        </w:rPr>
        <w:t xml:space="preserve">    </w:t>
      </w:r>
      <w:r>
        <w:rPr>
          <w:rFonts w:hint="default" w:ascii="Calibri" w:hAnsi="Calibri" w:eastAsia="宋体" w:cs="宋体"/>
          <w:color w:val="auto"/>
          <w:kern w:val="0"/>
          <w:sz w:val="28"/>
          <w:szCs w:val="28"/>
          <w:lang w:val="en-US" w:eastAsia="zh-CN" w:bidi="ar"/>
        </w:rPr>
        <w:t> 联系电话：39227143、18018562123</w:t>
      </w:r>
      <w:r>
        <w:rPr>
          <w:rFonts w:hint="default" w:ascii="Calibri" w:hAnsi="Calibri" w:eastAsia="宋体" w:cs="宋体"/>
          <w:color w:val="auto"/>
          <w:kern w:val="0"/>
          <w:sz w:val="28"/>
          <w:szCs w:val="28"/>
          <w:lang w:val="en-US" w:eastAsia="zh-CN" w:bidi="ar"/>
        </w:rPr>
        <w:br w:type="textWrapping"/>
      </w:r>
      <w:r>
        <w:rPr>
          <w:rFonts w:hint="eastAsia" w:ascii="Calibri" w:hAnsi="Calibri" w:eastAsia="宋体" w:cs="宋体"/>
          <w:color w:val="auto"/>
          <w:kern w:val="0"/>
          <w:sz w:val="28"/>
          <w:szCs w:val="28"/>
          <w:lang w:val="en-US" w:eastAsia="zh-CN" w:bidi="ar"/>
        </w:rPr>
        <w:t xml:space="preserve">    </w:t>
      </w:r>
      <w:r>
        <w:rPr>
          <w:rFonts w:hint="default" w:ascii="Calibri" w:hAnsi="Calibri" w:eastAsia="宋体" w:cs="宋体"/>
          <w:color w:val="auto"/>
          <w:kern w:val="0"/>
          <w:sz w:val="28"/>
          <w:szCs w:val="28"/>
          <w:lang w:val="en-US" w:eastAsia="zh-CN" w:bidi="ar"/>
        </w:rPr>
        <w:t>    邮箱：495534132@qq.com</w:t>
      </w:r>
      <w:r>
        <w:rPr>
          <w:rFonts w:hint="default" w:ascii="Calibri" w:hAnsi="Calibri" w:eastAsia="宋体" w:cs="宋体"/>
          <w:color w:val="auto"/>
          <w:kern w:val="0"/>
          <w:sz w:val="28"/>
          <w:szCs w:val="28"/>
          <w:lang w:val="en-US" w:eastAsia="zh-CN" w:bidi="ar"/>
        </w:rPr>
        <w:br w:type="textWrapping"/>
      </w:r>
      <w:r>
        <w:rPr>
          <w:rFonts w:hint="eastAsia" w:ascii="Calibri" w:hAnsi="Calibri" w:eastAsia="宋体" w:cs="宋体"/>
          <w:color w:val="auto"/>
          <w:kern w:val="0"/>
          <w:sz w:val="28"/>
          <w:szCs w:val="28"/>
          <w:lang w:val="en-US" w:eastAsia="zh-CN" w:bidi="ar"/>
        </w:rPr>
        <w:t xml:space="preserve">    </w:t>
      </w:r>
      <w:r>
        <w:rPr>
          <w:rFonts w:hint="default" w:ascii="Calibri" w:hAnsi="Calibri" w:eastAsia="宋体" w:cs="宋体"/>
          <w:color w:val="auto"/>
          <w:kern w:val="0"/>
          <w:sz w:val="28"/>
          <w:szCs w:val="28"/>
          <w:lang w:val="en-US" w:eastAsia="zh-CN" w:bidi="ar"/>
        </w:rPr>
        <w:t>    部门邮箱：yanjiusheng@shupl.edu.cn</w:t>
      </w:r>
      <w:r>
        <w:rPr>
          <w:rFonts w:hint="default" w:ascii="Calibri" w:hAnsi="Calibri" w:eastAsia="宋体" w:cs="宋体"/>
          <w:color w:val="auto"/>
          <w:kern w:val="0"/>
          <w:sz w:val="28"/>
          <w:szCs w:val="28"/>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11E6C"/>
    <w:rsid w:val="01E41561"/>
    <w:rsid w:val="02556932"/>
    <w:rsid w:val="08D30129"/>
    <w:rsid w:val="1D977FEC"/>
    <w:rsid w:val="2C155C30"/>
    <w:rsid w:val="356C1903"/>
    <w:rsid w:val="40323DB0"/>
    <w:rsid w:val="4C69108D"/>
    <w:rsid w:val="53AA1418"/>
    <w:rsid w:val="5A511E6C"/>
    <w:rsid w:val="650F7E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555555"/>
      <w:u w:val="none"/>
    </w:rPr>
  </w:style>
  <w:style w:type="character" w:styleId="4">
    <w:name w:val="Emphasis"/>
    <w:basedOn w:val="2"/>
    <w:qFormat/>
    <w:uiPriority w:val="0"/>
  </w:style>
  <w:style w:type="character" w:styleId="5">
    <w:name w:val="Hyperlink"/>
    <w:basedOn w:val="2"/>
    <w:qFormat/>
    <w:uiPriority w:val="0"/>
    <w:rPr>
      <w:color w:val="55555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2016-09-14T07:23:00Z</dcterms:created>
  <dc:creator>lenovo</dc:creator>
  <cp:lastModifiedBy>赵俊</cp:lastModifiedBy>
  <dcterms:modified xsi:type="dcterms:W3CDTF">2016-09-14T11:52:58Z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