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3：</w:t>
      </w:r>
    </w:p>
    <w:p>
      <w:pPr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28"/>
          <w:szCs w:val="28"/>
        </w:rPr>
        <w:t>2018年度上海高校市级精品课程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立项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名单</w:t>
      </w:r>
    </w:p>
    <w:bookmarkEnd w:id="0"/>
    <w:tbl>
      <w:tblPr>
        <w:tblStyle w:val="3"/>
        <w:tblpPr w:leftFromText="180" w:rightFromText="180" w:vertAnchor="text" w:horzAnchor="page" w:tblpX="2003" w:tblpY="442"/>
        <w:tblOverlap w:val="never"/>
        <w:tblW w:w="8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786"/>
        <w:gridCol w:w="2410"/>
        <w:gridCol w:w="25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国际金融法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王丽华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国际法学院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法丽娜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经济管理学院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46B27"/>
    <w:rsid w:val="6104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2019-06-12T09:05:00Z</dcterms:created>
  <dc:creator>Twilight lonesome</dc:creator>
  <cp:lastModifiedBy>Twilight lonesome</cp:lastModifiedBy>
  <dcterms:modified xsi:type="dcterms:W3CDTF">2019-06-12T09:06:40Z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