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rPr>
          <w:rFonts w:ascii="仿宋_GB2312" w:hAnsi="仿宋_GB2312" w:eastAsia="仿宋_GB2312" w:cs="仿宋_GB2312"/>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2023年度司法研究重大课题题目及研究重点</w:t>
      </w:r>
    </w:p>
    <w:p>
      <w:pPr>
        <w:spacing w:line="600" w:lineRule="exact"/>
        <w:jc w:val="center"/>
        <w:rPr>
          <w:rFonts w:ascii="Times New Roman" w:hAnsi="Times New Roman" w:eastAsia="黑体"/>
          <w:sz w:val="30"/>
          <w:szCs w:val="30"/>
        </w:rPr>
      </w:pPr>
      <w:r>
        <w:rPr>
          <w:rFonts w:ascii="Times New Roman" w:hAnsi="黑体" w:eastAsia="黑体"/>
          <w:sz w:val="30"/>
          <w:szCs w:val="30"/>
        </w:rPr>
        <w:t>一、习近平法治思想</w:t>
      </w:r>
      <w:r>
        <w:rPr>
          <w:rFonts w:hint="eastAsia" w:ascii="Times New Roman" w:hAnsi="黑体" w:eastAsia="黑体"/>
          <w:sz w:val="30"/>
          <w:szCs w:val="30"/>
        </w:rPr>
        <w:t>在司法领域的创新与发展研究</w:t>
      </w:r>
    </w:p>
    <w:p>
      <w:pPr>
        <w:spacing w:line="600" w:lineRule="exact"/>
        <w:rPr>
          <w:rFonts w:ascii="Times New Roman" w:hAnsi="Times New Roman" w:eastAsia="仿宋_GB2312"/>
          <w:sz w:val="30"/>
          <w:szCs w:val="30"/>
        </w:rPr>
      </w:pPr>
      <w:r>
        <w:rPr>
          <w:rFonts w:ascii="Times New Roman" w:hAnsi="Times New Roman" w:eastAsia="仿宋_GB2312"/>
          <w:sz w:val="30"/>
          <w:szCs w:val="30"/>
        </w:rPr>
        <w:t xml:space="preserve">    研究重点：</w:t>
      </w:r>
      <w:r>
        <w:rPr>
          <w:rFonts w:hint="eastAsia" w:ascii="仿宋_GB2312" w:eastAsia="仿宋_GB2312"/>
          <w:sz w:val="30"/>
          <w:szCs w:val="30"/>
        </w:rPr>
        <w:t>习近平法治思想原创性贡献研究阐释</w:t>
      </w:r>
      <w:r>
        <w:rPr>
          <w:rFonts w:hint="eastAsia" w:ascii="Times New Roman" w:eastAsia="仿宋_GB2312"/>
          <w:sz w:val="30"/>
          <w:szCs w:val="30"/>
        </w:rPr>
        <w:t>；</w:t>
      </w:r>
      <w:r>
        <w:rPr>
          <w:rFonts w:hint="eastAsia" w:ascii="仿宋_GB2312" w:eastAsia="仿宋_GB2312"/>
          <w:sz w:val="30"/>
          <w:szCs w:val="30"/>
        </w:rPr>
        <w:t>习近平法治思想在司法领域的重大理论创新成果和实践发展；以</w:t>
      </w:r>
      <w:r>
        <w:rPr>
          <w:rFonts w:ascii="仿宋_GB2312" w:eastAsia="仿宋_GB2312"/>
          <w:sz w:val="30"/>
          <w:szCs w:val="30"/>
        </w:rPr>
        <w:t>习近平法治思想</w:t>
      </w:r>
      <w:r>
        <w:rPr>
          <w:rFonts w:hint="eastAsia" w:ascii="仿宋_GB2312" w:eastAsia="仿宋_GB2312"/>
          <w:sz w:val="30"/>
          <w:szCs w:val="30"/>
        </w:rPr>
        <w:t>为指导推进审判工作现代化的实践路径</w:t>
      </w:r>
      <w:r>
        <w:rPr>
          <w:rFonts w:hint="eastAsia" w:ascii="Times New Roman" w:eastAsia="仿宋_GB2312"/>
          <w:sz w:val="30"/>
          <w:szCs w:val="30"/>
        </w:rPr>
        <w:t>等</w:t>
      </w:r>
      <w:r>
        <w:rPr>
          <w:rFonts w:ascii="Times New Roman" w:eastAsia="仿宋_GB2312"/>
          <w:sz w:val="30"/>
          <w:szCs w:val="30"/>
        </w:rPr>
        <w:t>。</w:t>
      </w:r>
    </w:p>
    <w:p>
      <w:pPr>
        <w:spacing w:line="600" w:lineRule="exact"/>
        <w:ind w:left="600"/>
        <w:rPr>
          <w:rFonts w:ascii="Times New Roman" w:hAnsi="Times New Roman" w:eastAsia="黑体"/>
          <w:sz w:val="30"/>
          <w:szCs w:val="30"/>
        </w:rPr>
      </w:pPr>
      <w:r>
        <w:rPr>
          <w:rFonts w:ascii="Times New Roman" w:hAnsi="黑体" w:eastAsia="黑体"/>
          <w:sz w:val="30"/>
          <w:szCs w:val="30"/>
        </w:rPr>
        <w:t>二、</w:t>
      </w:r>
      <w:r>
        <w:rPr>
          <w:rFonts w:hint="eastAsia" w:ascii="Times New Roman" w:hAnsi="黑体" w:eastAsia="黑体"/>
          <w:sz w:val="30"/>
          <w:szCs w:val="30"/>
        </w:rPr>
        <w:t>以审判工作现代化</w:t>
      </w:r>
      <w:r>
        <w:rPr>
          <w:rFonts w:ascii="Times New Roman" w:hAnsi="黑体" w:eastAsia="黑体"/>
          <w:sz w:val="30"/>
          <w:szCs w:val="30"/>
        </w:rPr>
        <w:t>服务</w:t>
      </w:r>
      <w:r>
        <w:rPr>
          <w:rFonts w:hint="eastAsia" w:ascii="Times New Roman" w:hAnsi="黑体" w:eastAsia="黑体"/>
          <w:sz w:val="30"/>
          <w:szCs w:val="30"/>
        </w:rPr>
        <w:t>、</w:t>
      </w:r>
      <w:r>
        <w:rPr>
          <w:rFonts w:ascii="Times New Roman" w:hAnsi="黑体" w:eastAsia="黑体"/>
          <w:sz w:val="30"/>
          <w:szCs w:val="30"/>
        </w:rPr>
        <w:t>保障中国式现代化研究</w:t>
      </w:r>
    </w:p>
    <w:p>
      <w:pPr>
        <w:spacing w:line="600" w:lineRule="exact"/>
        <w:rPr>
          <w:rFonts w:ascii="Times New Roman" w:hAnsi="Times New Roman" w:eastAsia="仿宋_GB2312"/>
          <w:sz w:val="30"/>
          <w:szCs w:val="30"/>
        </w:rPr>
      </w:pPr>
      <w:r>
        <w:rPr>
          <w:rFonts w:hint="eastAsia" w:ascii="Times New Roman" w:hAnsi="Times New Roman" w:eastAsia="仿宋_GB2312"/>
          <w:sz w:val="30"/>
          <w:szCs w:val="30"/>
        </w:rPr>
        <w:t xml:space="preserve">    </w:t>
      </w:r>
      <w:r>
        <w:rPr>
          <w:rFonts w:ascii="Times New Roman" w:eastAsia="仿宋_GB2312"/>
          <w:sz w:val="30"/>
          <w:szCs w:val="30"/>
        </w:rPr>
        <w:t>研究重点：中国式现代化对人民法院</w:t>
      </w:r>
      <w:r>
        <w:rPr>
          <w:rFonts w:hint="eastAsia" w:ascii="Times New Roman" w:eastAsia="仿宋_GB2312"/>
          <w:sz w:val="30"/>
          <w:szCs w:val="30"/>
        </w:rPr>
        <w:t>审判工作现代化</w:t>
      </w:r>
      <w:r>
        <w:rPr>
          <w:rFonts w:ascii="Times New Roman" w:eastAsia="仿宋_GB2312"/>
          <w:sz w:val="30"/>
          <w:szCs w:val="30"/>
        </w:rPr>
        <w:t>提出</w:t>
      </w:r>
      <w:r>
        <w:rPr>
          <w:rFonts w:hint="eastAsia" w:ascii="Times New Roman" w:eastAsia="仿宋_GB2312"/>
          <w:sz w:val="30"/>
          <w:szCs w:val="30"/>
        </w:rPr>
        <w:t>要求，对人民法院各项工作既是</w:t>
      </w:r>
      <w:r>
        <w:rPr>
          <w:rFonts w:ascii="Times New Roman" w:eastAsia="仿宋_GB2312"/>
          <w:sz w:val="30"/>
          <w:szCs w:val="30"/>
        </w:rPr>
        <w:t>重大机遇</w:t>
      </w:r>
      <w:r>
        <w:rPr>
          <w:rFonts w:hint="eastAsia" w:ascii="Times New Roman" w:eastAsia="仿宋_GB2312"/>
          <w:sz w:val="30"/>
          <w:szCs w:val="30"/>
        </w:rPr>
        <w:t>，也是严峻</w:t>
      </w:r>
      <w:r>
        <w:rPr>
          <w:rFonts w:ascii="Times New Roman" w:eastAsia="仿宋_GB2312"/>
          <w:sz w:val="30"/>
          <w:szCs w:val="30"/>
        </w:rPr>
        <w:t>挑战；</w:t>
      </w:r>
      <w:r>
        <w:rPr>
          <w:rFonts w:hint="eastAsia" w:ascii="Times New Roman" w:eastAsia="仿宋_GB2312"/>
          <w:sz w:val="30"/>
          <w:szCs w:val="30"/>
        </w:rPr>
        <w:t>审判工作现代化的内涵、要求；</w:t>
      </w:r>
      <w:r>
        <w:rPr>
          <w:rFonts w:ascii="Times New Roman" w:eastAsia="仿宋_GB2312"/>
          <w:sz w:val="30"/>
          <w:szCs w:val="30"/>
        </w:rPr>
        <w:t>为中国式现代化提供服务</w:t>
      </w:r>
      <w:r>
        <w:rPr>
          <w:rFonts w:hint="eastAsia" w:ascii="Times New Roman" w:eastAsia="仿宋_GB2312"/>
          <w:sz w:val="30"/>
          <w:szCs w:val="30"/>
          <w:lang w:eastAsia="zh-CN"/>
        </w:rPr>
        <w:t>、</w:t>
      </w:r>
      <w:bookmarkStart w:id="0" w:name="_GoBack"/>
      <w:bookmarkEnd w:id="0"/>
      <w:r>
        <w:rPr>
          <w:rFonts w:ascii="Times New Roman" w:eastAsia="仿宋_GB2312"/>
          <w:sz w:val="30"/>
          <w:szCs w:val="30"/>
        </w:rPr>
        <w:t>保障的</w:t>
      </w:r>
      <w:r>
        <w:rPr>
          <w:rFonts w:hint="eastAsia" w:ascii="Times New Roman" w:eastAsia="仿宋_GB2312"/>
          <w:sz w:val="30"/>
          <w:szCs w:val="30"/>
        </w:rPr>
        <w:t>职责使命和目标任务</w:t>
      </w:r>
      <w:r>
        <w:rPr>
          <w:rFonts w:ascii="Times New Roman" w:eastAsia="仿宋_GB2312"/>
          <w:sz w:val="30"/>
          <w:szCs w:val="30"/>
        </w:rPr>
        <w:t>；</w:t>
      </w:r>
      <w:r>
        <w:rPr>
          <w:rFonts w:hint="eastAsia" w:ascii="Times New Roman" w:eastAsia="仿宋_GB2312"/>
          <w:sz w:val="30"/>
          <w:szCs w:val="30"/>
        </w:rPr>
        <w:t>审判工作现代化</w:t>
      </w:r>
      <w:r>
        <w:rPr>
          <w:rFonts w:ascii="Times New Roman" w:eastAsia="仿宋_GB2312"/>
          <w:sz w:val="30"/>
          <w:szCs w:val="30"/>
        </w:rPr>
        <w:t>服务</w:t>
      </w:r>
      <w:r>
        <w:rPr>
          <w:rFonts w:hint="eastAsia" w:ascii="Times New Roman" w:eastAsia="仿宋_GB2312"/>
          <w:sz w:val="30"/>
          <w:szCs w:val="30"/>
        </w:rPr>
        <w:t>、</w:t>
      </w:r>
      <w:r>
        <w:rPr>
          <w:rFonts w:ascii="Times New Roman" w:eastAsia="仿宋_GB2312"/>
          <w:sz w:val="30"/>
          <w:szCs w:val="30"/>
        </w:rPr>
        <w:t>保障中国式现代化的</w:t>
      </w:r>
      <w:r>
        <w:rPr>
          <w:rFonts w:hint="eastAsia" w:ascii="Times New Roman" w:eastAsia="仿宋_GB2312"/>
          <w:sz w:val="30"/>
          <w:szCs w:val="30"/>
        </w:rPr>
        <w:t>方法路径、突出问题及解决方案</w:t>
      </w:r>
      <w:r>
        <w:rPr>
          <w:rFonts w:ascii="Times New Roman" w:eastAsia="仿宋_GB2312"/>
          <w:sz w:val="30"/>
          <w:szCs w:val="30"/>
        </w:rPr>
        <w:t>等。</w:t>
      </w:r>
    </w:p>
    <w:p>
      <w:pPr>
        <w:spacing w:line="600" w:lineRule="exact"/>
        <w:rPr>
          <w:rFonts w:ascii="Times New Roman" w:hAnsi="Times New Roman" w:eastAsia="黑体"/>
          <w:sz w:val="30"/>
          <w:szCs w:val="30"/>
        </w:rPr>
      </w:pPr>
      <w:r>
        <w:rPr>
          <w:rFonts w:hint="eastAsia" w:ascii="Times New Roman" w:hAnsi="黑体" w:eastAsia="黑体"/>
          <w:sz w:val="30"/>
          <w:szCs w:val="30"/>
        </w:rPr>
        <w:t xml:space="preserve">    三</w:t>
      </w:r>
      <w:r>
        <w:rPr>
          <w:rFonts w:ascii="Times New Roman" w:hAnsi="黑体" w:eastAsia="黑体"/>
          <w:sz w:val="30"/>
          <w:szCs w:val="30"/>
        </w:rPr>
        <w:t>、新民主主义革命时期革命根据地司法制度</w:t>
      </w:r>
      <w:r>
        <w:rPr>
          <w:rFonts w:hint="eastAsia" w:ascii="Times New Roman" w:hAnsi="黑体" w:eastAsia="黑体"/>
          <w:sz w:val="30"/>
          <w:szCs w:val="30"/>
        </w:rPr>
        <w:t>的传承与发展</w:t>
      </w:r>
      <w:r>
        <w:rPr>
          <w:rFonts w:ascii="Times New Roman" w:hAnsi="黑体" w:eastAsia="黑体"/>
          <w:sz w:val="30"/>
          <w:szCs w:val="30"/>
        </w:rPr>
        <w:t>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w:t>
      </w:r>
      <w:r>
        <w:rPr>
          <w:rFonts w:hint="eastAsia" w:ascii="Times New Roman" w:hAnsi="Times New Roman" w:eastAsia="仿宋_GB2312"/>
          <w:sz w:val="30"/>
          <w:szCs w:val="30"/>
        </w:rPr>
        <w:t>系统总结</w:t>
      </w:r>
      <w:r>
        <w:rPr>
          <w:rFonts w:ascii="Times New Roman" w:hAnsi="Times New Roman" w:eastAsia="仿宋_GB2312"/>
          <w:sz w:val="30"/>
          <w:szCs w:val="30"/>
        </w:rPr>
        <w:t>党领导</w:t>
      </w:r>
      <w:r>
        <w:rPr>
          <w:rFonts w:hint="eastAsia" w:ascii="Times New Roman" w:hAnsi="Times New Roman" w:eastAsia="仿宋_GB2312"/>
          <w:sz w:val="30"/>
          <w:szCs w:val="30"/>
        </w:rPr>
        <w:t>下</w:t>
      </w:r>
      <w:r>
        <w:rPr>
          <w:rFonts w:ascii="Times New Roman" w:hAnsi="Times New Roman" w:eastAsia="仿宋_GB2312"/>
          <w:sz w:val="30"/>
          <w:szCs w:val="30"/>
        </w:rPr>
        <w:t>革命根据地司法制度</w:t>
      </w:r>
      <w:r>
        <w:rPr>
          <w:rFonts w:hint="eastAsia" w:ascii="Times New Roman" w:hAnsi="Times New Roman" w:eastAsia="仿宋_GB2312"/>
          <w:sz w:val="30"/>
          <w:szCs w:val="30"/>
        </w:rPr>
        <w:t>建设的历史经验和现实启示</w:t>
      </w:r>
      <w:r>
        <w:rPr>
          <w:rFonts w:ascii="Times New Roman" w:hAnsi="Times New Roman" w:eastAsia="仿宋_GB2312"/>
          <w:sz w:val="30"/>
          <w:szCs w:val="30"/>
        </w:rPr>
        <w:t>；</w:t>
      </w:r>
      <w:r>
        <w:rPr>
          <w:rFonts w:hint="eastAsia" w:ascii="Times New Roman" w:hAnsi="Times New Roman" w:eastAsia="仿宋_GB2312"/>
          <w:sz w:val="30"/>
          <w:szCs w:val="30"/>
        </w:rPr>
        <w:t>人民司法制度正式建立的标志及认定依据；革命根据地优良司法传统传承与发展的实践路径；</w:t>
      </w:r>
      <w:r>
        <w:rPr>
          <w:rFonts w:ascii="Times New Roman" w:hAnsi="Times New Roman" w:eastAsia="仿宋_GB2312"/>
          <w:sz w:val="30"/>
          <w:szCs w:val="30"/>
        </w:rPr>
        <w:t>革命根据地</w:t>
      </w:r>
      <w:r>
        <w:rPr>
          <w:rFonts w:hint="eastAsia" w:ascii="Times New Roman" w:hAnsi="Times New Roman" w:eastAsia="仿宋_GB2312"/>
          <w:sz w:val="30"/>
          <w:szCs w:val="30"/>
        </w:rPr>
        <w:t>时期</w:t>
      </w:r>
      <w:r>
        <w:rPr>
          <w:rFonts w:ascii="Times New Roman" w:hAnsi="Times New Roman" w:eastAsia="仿宋_GB2312"/>
          <w:sz w:val="30"/>
          <w:szCs w:val="30"/>
        </w:rPr>
        <w:t>红色</w:t>
      </w:r>
      <w:r>
        <w:rPr>
          <w:rFonts w:hint="eastAsia" w:ascii="Times New Roman" w:hAnsi="Times New Roman" w:eastAsia="仿宋_GB2312"/>
          <w:sz w:val="30"/>
          <w:szCs w:val="30"/>
        </w:rPr>
        <w:t>司法</w:t>
      </w:r>
      <w:r>
        <w:rPr>
          <w:rFonts w:ascii="Times New Roman" w:hAnsi="Times New Roman" w:eastAsia="仿宋_GB2312"/>
          <w:sz w:val="30"/>
          <w:szCs w:val="30"/>
        </w:rPr>
        <w:t>文化资源</w:t>
      </w:r>
      <w:r>
        <w:rPr>
          <w:rFonts w:hint="eastAsia" w:ascii="Times New Roman" w:hAnsi="Times New Roman" w:eastAsia="仿宋_GB2312"/>
          <w:sz w:val="30"/>
          <w:szCs w:val="30"/>
        </w:rPr>
        <w:t>开发与</w:t>
      </w:r>
      <w:r>
        <w:rPr>
          <w:rFonts w:ascii="Times New Roman" w:hAnsi="Times New Roman" w:eastAsia="仿宋_GB2312"/>
          <w:sz w:val="30"/>
          <w:szCs w:val="30"/>
        </w:rPr>
        <w:t>利用</w:t>
      </w:r>
      <w:r>
        <w:rPr>
          <w:rFonts w:hint="eastAsia" w:ascii="Times New Roman" w:hAnsi="Times New Roman" w:eastAsia="仿宋_GB2312"/>
          <w:sz w:val="30"/>
          <w:szCs w:val="30"/>
        </w:rPr>
        <w:t>的方法、问题及建议</w:t>
      </w:r>
      <w:r>
        <w:rPr>
          <w:rFonts w:ascii="Times New Roman" w:hAnsi="Times New Roman" w:eastAsia="仿宋_GB2312"/>
          <w:sz w:val="30"/>
          <w:szCs w:val="30"/>
        </w:rPr>
        <w:t>等。</w:t>
      </w:r>
    </w:p>
    <w:p>
      <w:pPr>
        <w:spacing w:line="600" w:lineRule="exact"/>
        <w:ind w:firstLine="600" w:firstLineChars="200"/>
        <w:rPr>
          <w:rFonts w:ascii="Times New Roman" w:hAnsi="Times New Roman" w:eastAsia="黑体"/>
          <w:bCs/>
          <w:sz w:val="30"/>
          <w:szCs w:val="30"/>
        </w:rPr>
      </w:pPr>
      <w:r>
        <w:rPr>
          <w:rFonts w:hint="eastAsia" w:ascii="Times New Roman" w:hAnsi="黑体" w:eastAsia="黑体"/>
          <w:sz w:val="30"/>
          <w:szCs w:val="30"/>
        </w:rPr>
        <w:t>四</w:t>
      </w:r>
      <w:r>
        <w:rPr>
          <w:rFonts w:ascii="Times New Roman" w:hAnsi="黑体" w:eastAsia="黑体"/>
          <w:sz w:val="30"/>
          <w:szCs w:val="30"/>
        </w:rPr>
        <w:t>、</w:t>
      </w:r>
      <w:r>
        <w:rPr>
          <w:rFonts w:ascii="Times New Roman" w:hAnsi="黑体" w:eastAsia="黑体"/>
          <w:bCs/>
          <w:sz w:val="30"/>
          <w:szCs w:val="30"/>
        </w:rPr>
        <w:t>抓实司法公正与效率研究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w:t>
      </w:r>
      <w:r>
        <w:rPr>
          <w:rFonts w:ascii="Times New Roman" w:eastAsia="仿宋_GB2312"/>
          <w:sz w:val="30"/>
          <w:szCs w:val="30"/>
        </w:rPr>
        <w:t>正确处理</w:t>
      </w:r>
      <w:r>
        <w:rPr>
          <w:rFonts w:hint="eastAsia" w:ascii="Times New Roman" w:eastAsia="仿宋_GB2312"/>
          <w:sz w:val="30"/>
          <w:szCs w:val="30"/>
        </w:rPr>
        <w:t>司法审判</w:t>
      </w:r>
      <w:r>
        <w:rPr>
          <w:rFonts w:ascii="Times New Roman" w:hAnsi="Times New Roman" w:eastAsia="仿宋_GB2312"/>
          <w:sz w:val="30"/>
          <w:szCs w:val="30"/>
        </w:rPr>
        <w:t>“</w:t>
      </w:r>
      <w:r>
        <w:rPr>
          <w:rFonts w:ascii="Times New Roman" w:eastAsia="仿宋_GB2312"/>
          <w:sz w:val="30"/>
          <w:szCs w:val="30"/>
        </w:rPr>
        <w:t>快</w:t>
      </w:r>
      <w:r>
        <w:rPr>
          <w:rFonts w:ascii="Times New Roman" w:hAnsi="Times New Roman" w:eastAsia="仿宋_GB2312"/>
          <w:sz w:val="30"/>
          <w:szCs w:val="30"/>
        </w:rPr>
        <w:t>”</w:t>
      </w:r>
      <w:r>
        <w:rPr>
          <w:rFonts w:ascii="Times New Roman" w:eastAsia="仿宋_GB2312"/>
          <w:sz w:val="30"/>
          <w:szCs w:val="30"/>
        </w:rPr>
        <w:t>与</w:t>
      </w:r>
      <w:r>
        <w:rPr>
          <w:rFonts w:ascii="Times New Roman" w:hAnsi="Times New Roman" w:eastAsia="仿宋_GB2312"/>
          <w:sz w:val="30"/>
          <w:szCs w:val="30"/>
        </w:rPr>
        <w:t>“</w:t>
      </w:r>
      <w:r>
        <w:rPr>
          <w:rFonts w:ascii="Times New Roman" w:eastAsia="仿宋_GB2312"/>
          <w:sz w:val="30"/>
          <w:szCs w:val="30"/>
        </w:rPr>
        <w:t>好</w:t>
      </w:r>
      <w:r>
        <w:rPr>
          <w:rFonts w:ascii="Times New Roman" w:hAnsi="Times New Roman" w:eastAsia="仿宋_GB2312"/>
          <w:sz w:val="30"/>
          <w:szCs w:val="30"/>
        </w:rPr>
        <w:t>”</w:t>
      </w:r>
      <w:r>
        <w:rPr>
          <w:rFonts w:ascii="Times New Roman" w:eastAsia="仿宋_GB2312"/>
          <w:sz w:val="30"/>
          <w:szCs w:val="30"/>
        </w:rPr>
        <w:t>的辩证关系，</w:t>
      </w:r>
      <w:r>
        <w:rPr>
          <w:rFonts w:hint="eastAsia" w:ascii="Times New Roman" w:eastAsia="仿宋_GB2312"/>
          <w:sz w:val="30"/>
          <w:szCs w:val="30"/>
        </w:rPr>
        <w:t>找准</w:t>
      </w:r>
      <w:r>
        <w:rPr>
          <w:rFonts w:ascii="Times New Roman" w:eastAsia="仿宋_GB2312"/>
          <w:sz w:val="30"/>
          <w:szCs w:val="30"/>
        </w:rPr>
        <w:t>抓实司法公正与效率的着力点；科学处理实体公正与程序公正的关系，</w:t>
      </w:r>
      <w:r>
        <w:rPr>
          <w:rFonts w:hint="eastAsia" w:ascii="Times New Roman" w:eastAsia="仿宋_GB2312"/>
          <w:sz w:val="30"/>
          <w:szCs w:val="30"/>
        </w:rPr>
        <w:t>在</w:t>
      </w:r>
      <w:r>
        <w:rPr>
          <w:rFonts w:ascii="Times New Roman" w:eastAsia="仿宋_GB2312"/>
          <w:sz w:val="30"/>
          <w:szCs w:val="30"/>
        </w:rPr>
        <w:t>坚持依法办案</w:t>
      </w:r>
      <w:r>
        <w:rPr>
          <w:rFonts w:hint="eastAsia" w:ascii="Times New Roman" w:eastAsia="仿宋_GB2312"/>
          <w:sz w:val="30"/>
          <w:szCs w:val="30"/>
        </w:rPr>
        <w:t>基础上追求最佳办案效果</w:t>
      </w:r>
      <w:r>
        <w:rPr>
          <w:rFonts w:ascii="Times New Roman" w:eastAsia="仿宋_GB2312"/>
          <w:sz w:val="30"/>
          <w:szCs w:val="30"/>
        </w:rPr>
        <w:t>，坚持法理情相统一的现实问题；构建符合司法规律的绩效管理体系</w:t>
      </w:r>
      <w:r>
        <w:rPr>
          <w:rFonts w:hint="eastAsia" w:ascii="Times New Roman" w:eastAsia="仿宋_GB2312"/>
          <w:sz w:val="30"/>
          <w:szCs w:val="30"/>
        </w:rPr>
        <w:t>问题；各地法院抓实公正与效率的具体举措及成效</w:t>
      </w:r>
      <w:r>
        <w:rPr>
          <w:rFonts w:ascii="Times New Roman" w:eastAsia="仿宋_GB2312"/>
          <w:sz w:val="30"/>
          <w:szCs w:val="30"/>
        </w:rPr>
        <w:t>等。</w:t>
      </w:r>
    </w:p>
    <w:p>
      <w:pPr>
        <w:spacing w:line="600" w:lineRule="exact"/>
        <w:ind w:left="600"/>
        <w:rPr>
          <w:rFonts w:ascii="Times New Roman" w:hAnsi="Times New Roman" w:eastAsia="黑体"/>
          <w:sz w:val="30"/>
          <w:szCs w:val="30"/>
        </w:rPr>
      </w:pPr>
      <w:r>
        <w:rPr>
          <w:rFonts w:hint="eastAsia" w:ascii="Times New Roman" w:hAnsi="黑体" w:eastAsia="黑体"/>
          <w:sz w:val="30"/>
          <w:szCs w:val="30"/>
        </w:rPr>
        <w:t>五</w:t>
      </w:r>
      <w:r>
        <w:rPr>
          <w:rFonts w:ascii="Times New Roman" w:hAnsi="黑体" w:eastAsia="黑体"/>
          <w:sz w:val="30"/>
          <w:szCs w:val="30"/>
        </w:rPr>
        <w:t>、新时代人民法院能动司法研究</w:t>
      </w:r>
    </w:p>
    <w:p>
      <w:pPr>
        <w:spacing w:line="600" w:lineRule="exact"/>
        <w:rPr>
          <w:rFonts w:ascii="Times New Roman" w:hAnsi="Times New Roman" w:eastAsia="黑体"/>
          <w:sz w:val="30"/>
          <w:szCs w:val="30"/>
        </w:rPr>
      </w:pPr>
      <w:r>
        <w:rPr>
          <w:rFonts w:ascii="Times New Roman" w:hAnsi="Times New Roman" w:eastAsia="仿宋_GB2312"/>
          <w:sz w:val="30"/>
          <w:szCs w:val="30"/>
        </w:rPr>
        <w:t xml:space="preserve">    </w:t>
      </w:r>
      <w:r>
        <w:rPr>
          <w:rFonts w:ascii="Times New Roman" w:eastAsia="仿宋_GB2312"/>
          <w:sz w:val="30"/>
          <w:szCs w:val="30"/>
        </w:rPr>
        <w:t>研究重点：</w:t>
      </w:r>
      <w:r>
        <w:rPr>
          <w:rFonts w:hint="eastAsia" w:ascii="Times New Roman" w:eastAsia="仿宋_GB2312"/>
          <w:sz w:val="30"/>
          <w:szCs w:val="30"/>
        </w:rPr>
        <w:t>审判理念现代化的</w:t>
      </w:r>
      <w:r>
        <w:rPr>
          <w:rFonts w:ascii="Times New Roman" w:eastAsia="仿宋_GB2312"/>
          <w:sz w:val="30"/>
          <w:szCs w:val="30"/>
        </w:rPr>
        <w:t>重</w:t>
      </w:r>
      <w:r>
        <w:rPr>
          <w:rFonts w:hint="eastAsia" w:ascii="Times New Roman" w:eastAsia="仿宋_GB2312"/>
          <w:sz w:val="30"/>
          <w:szCs w:val="30"/>
        </w:rPr>
        <w:t>要</w:t>
      </w:r>
      <w:r>
        <w:rPr>
          <w:rFonts w:ascii="Times New Roman" w:eastAsia="仿宋_GB2312"/>
          <w:sz w:val="30"/>
          <w:szCs w:val="30"/>
        </w:rPr>
        <w:t>意义、</w:t>
      </w:r>
      <w:r>
        <w:rPr>
          <w:rFonts w:hint="eastAsia" w:ascii="Times New Roman" w:eastAsia="仿宋_GB2312"/>
          <w:sz w:val="30"/>
          <w:szCs w:val="30"/>
        </w:rPr>
        <w:t>目标任务</w:t>
      </w:r>
      <w:r>
        <w:rPr>
          <w:rFonts w:ascii="Times New Roman" w:eastAsia="仿宋_GB2312"/>
          <w:sz w:val="30"/>
          <w:szCs w:val="30"/>
        </w:rPr>
        <w:t>、</w:t>
      </w:r>
      <w:r>
        <w:rPr>
          <w:rFonts w:hint="eastAsia" w:ascii="Times New Roman" w:eastAsia="仿宋_GB2312"/>
          <w:sz w:val="30"/>
          <w:szCs w:val="30"/>
        </w:rPr>
        <w:t>基本原则</w:t>
      </w:r>
      <w:r>
        <w:rPr>
          <w:rFonts w:ascii="Times New Roman" w:eastAsia="仿宋_GB2312"/>
          <w:sz w:val="30"/>
          <w:szCs w:val="30"/>
        </w:rPr>
        <w:t>；能动司法理念的</w:t>
      </w:r>
      <w:r>
        <w:rPr>
          <w:rFonts w:hint="eastAsia" w:ascii="Times New Roman" w:eastAsia="仿宋_GB2312"/>
          <w:sz w:val="30"/>
          <w:szCs w:val="30"/>
        </w:rPr>
        <w:t>科学内涵和时代要求；能动司法理念对司法专业能力、职业道德素质提出的具体要求和养成路径；各地法院能动司法的实践探索和成效检视；</w:t>
      </w:r>
      <w:r>
        <w:rPr>
          <w:rFonts w:ascii="Times New Roman" w:eastAsia="仿宋_GB2312"/>
          <w:sz w:val="30"/>
          <w:szCs w:val="30"/>
        </w:rPr>
        <w:t>统筹抓好新时代能动司法基础工作的</w:t>
      </w:r>
      <w:r>
        <w:rPr>
          <w:rFonts w:hint="eastAsia" w:ascii="Times New Roman" w:eastAsia="仿宋_GB2312"/>
          <w:sz w:val="30"/>
          <w:szCs w:val="30"/>
        </w:rPr>
        <w:t>保障</w:t>
      </w:r>
      <w:r>
        <w:rPr>
          <w:rFonts w:ascii="Times New Roman" w:eastAsia="仿宋_GB2312"/>
          <w:sz w:val="30"/>
          <w:szCs w:val="30"/>
        </w:rPr>
        <w:t>机制</w:t>
      </w:r>
      <w:r>
        <w:rPr>
          <w:rFonts w:hint="eastAsia" w:ascii="Times New Roman" w:eastAsia="仿宋_GB2312"/>
          <w:sz w:val="30"/>
          <w:szCs w:val="30"/>
        </w:rPr>
        <w:t>等</w:t>
      </w:r>
      <w:r>
        <w:rPr>
          <w:rFonts w:ascii="Times New Roman" w:eastAsia="仿宋_GB2312"/>
          <w:sz w:val="30"/>
          <w:szCs w:val="30"/>
        </w:rPr>
        <w:t>。</w:t>
      </w:r>
    </w:p>
    <w:p>
      <w:pPr>
        <w:spacing w:line="600" w:lineRule="exact"/>
        <w:ind w:firstLine="600" w:firstLineChars="200"/>
        <w:rPr>
          <w:rFonts w:ascii="Times New Roman" w:hAnsi="Times New Roman" w:eastAsia="黑体"/>
          <w:sz w:val="30"/>
          <w:szCs w:val="30"/>
        </w:rPr>
      </w:pPr>
      <w:r>
        <w:rPr>
          <w:rFonts w:hint="eastAsia" w:ascii="Times New Roman" w:hAnsi="黑体" w:eastAsia="黑体"/>
          <w:sz w:val="30"/>
          <w:szCs w:val="30"/>
        </w:rPr>
        <w:t>六</w:t>
      </w:r>
      <w:r>
        <w:rPr>
          <w:rFonts w:ascii="Times New Roman" w:hAnsi="黑体" w:eastAsia="黑体"/>
          <w:sz w:val="30"/>
          <w:szCs w:val="30"/>
        </w:rPr>
        <w:t>、深化诉源治理改革研究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w:t>
      </w:r>
      <w:r>
        <w:rPr>
          <w:rFonts w:hint="eastAsia" w:ascii="Times New Roman" w:hAnsi="Times New Roman" w:eastAsia="仿宋_GB2312"/>
          <w:sz w:val="30"/>
          <w:szCs w:val="30"/>
        </w:rPr>
        <w:t>延伸审判职能，</w:t>
      </w:r>
      <w:r>
        <w:rPr>
          <w:rFonts w:hint="eastAsia" w:ascii="Times New Roman" w:eastAsia="仿宋_GB2312"/>
          <w:sz w:val="30"/>
          <w:szCs w:val="30"/>
        </w:rPr>
        <w:t>“抓前端、治未病”，</w:t>
      </w:r>
      <w:r>
        <w:rPr>
          <w:rFonts w:ascii="Times New Roman" w:hAnsi="Times New Roman" w:eastAsia="仿宋_GB2312"/>
          <w:sz w:val="30"/>
          <w:szCs w:val="30"/>
        </w:rPr>
        <w:t>主动融入国家治理、社会治理</w:t>
      </w:r>
      <w:r>
        <w:rPr>
          <w:rFonts w:hint="eastAsia" w:ascii="Times New Roman" w:eastAsia="仿宋_GB2312"/>
          <w:sz w:val="30"/>
          <w:szCs w:val="30"/>
        </w:rPr>
        <w:t>的路径；进一步完善司法建议制度的建议；</w:t>
      </w:r>
      <w:r>
        <w:rPr>
          <w:rFonts w:ascii="Times New Roman" w:hAnsi="Times New Roman" w:eastAsia="仿宋_GB2312"/>
          <w:sz w:val="30"/>
          <w:szCs w:val="30"/>
        </w:rPr>
        <w:t>实质性化解涉诉信访矛盾</w:t>
      </w:r>
      <w:r>
        <w:rPr>
          <w:rFonts w:hint="eastAsia" w:ascii="Times New Roman" w:hAnsi="Times New Roman" w:eastAsia="仿宋_GB2312"/>
          <w:sz w:val="30"/>
          <w:szCs w:val="30"/>
        </w:rPr>
        <w:t>，落实“有信必复”要求的机制建设、配套措施及成效检视</w:t>
      </w:r>
      <w:r>
        <w:rPr>
          <w:rFonts w:ascii="Times New Roman" w:hAnsi="Times New Roman" w:eastAsia="仿宋_GB2312"/>
          <w:sz w:val="30"/>
          <w:szCs w:val="30"/>
        </w:rPr>
        <w:t>；</w:t>
      </w:r>
      <w:r>
        <w:rPr>
          <w:rFonts w:hint="eastAsia" w:ascii="Times New Roman" w:hAnsi="Times New Roman" w:eastAsia="仿宋_GB2312"/>
          <w:sz w:val="30"/>
          <w:szCs w:val="30"/>
        </w:rPr>
        <w:t>充分引入人民调解力量，</w:t>
      </w:r>
      <w:r>
        <w:rPr>
          <w:rFonts w:ascii="Times New Roman" w:hAnsi="Times New Roman" w:eastAsia="仿宋_GB2312"/>
          <w:sz w:val="30"/>
          <w:szCs w:val="30"/>
        </w:rPr>
        <w:t>健全矛盾纠纷多元化解机制的</w:t>
      </w:r>
      <w:r>
        <w:rPr>
          <w:rFonts w:hint="eastAsia" w:ascii="Times New Roman" w:hAnsi="Times New Roman" w:eastAsia="仿宋_GB2312"/>
          <w:sz w:val="30"/>
          <w:szCs w:val="30"/>
        </w:rPr>
        <w:t>实践探索</w:t>
      </w:r>
      <w:r>
        <w:rPr>
          <w:rFonts w:ascii="Times New Roman" w:hAnsi="Times New Roman" w:eastAsia="仿宋_GB2312"/>
          <w:sz w:val="30"/>
          <w:szCs w:val="30"/>
        </w:rPr>
        <w:t>；制定矛盾纠纷多元化解促进法相关研究等。</w:t>
      </w:r>
    </w:p>
    <w:p>
      <w:pPr>
        <w:spacing w:line="600" w:lineRule="exact"/>
        <w:ind w:firstLine="600" w:firstLineChars="200"/>
        <w:rPr>
          <w:rFonts w:ascii="Times New Roman" w:hAnsi="黑体" w:eastAsia="黑体"/>
          <w:sz w:val="30"/>
          <w:szCs w:val="30"/>
        </w:rPr>
      </w:pPr>
      <w:r>
        <w:rPr>
          <w:rFonts w:hint="eastAsia" w:ascii="Times New Roman" w:hAnsi="黑体" w:eastAsia="黑体"/>
          <w:sz w:val="30"/>
          <w:szCs w:val="30"/>
        </w:rPr>
        <w:t>七、推进审判管理现代化研究</w:t>
      </w:r>
    </w:p>
    <w:p>
      <w:pPr>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研究重点：审判管理现代化的理论体系、主要内涵、目标任务；统一法律适用的方法路径和现实困难；请示案件办理机制完善建议；</w:t>
      </w:r>
      <w:r>
        <w:rPr>
          <w:rFonts w:hint="eastAsia" w:ascii="Times New Roman" w:eastAsia="仿宋_GB2312"/>
          <w:sz w:val="30"/>
          <w:szCs w:val="30"/>
        </w:rPr>
        <w:t>完善</w:t>
      </w:r>
      <w:r>
        <w:rPr>
          <w:rFonts w:ascii="Times New Roman" w:eastAsia="仿宋_GB2312"/>
          <w:sz w:val="30"/>
          <w:szCs w:val="30"/>
        </w:rPr>
        <w:t>审判</w:t>
      </w:r>
      <w:r>
        <w:rPr>
          <w:rFonts w:hint="eastAsia" w:ascii="Times New Roman" w:eastAsia="仿宋_GB2312"/>
          <w:sz w:val="30"/>
          <w:szCs w:val="30"/>
        </w:rPr>
        <w:t>质效</w:t>
      </w:r>
      <w:r>
        <w:rPr>
          <w:rFonts w:ascii="Times New Roman" w:eastAsia="仿宋_GB2312"/>
          <w:sz w:val="30"/>
          <w:szCs w:val="30"/>
        </w:rPr>
        <w:t>管理体系</w:t>
      </w:r>
      <w:r>
        <w:rPr>
          <w:rFonts w:hint="eastAsia" w:ascii="Times New Roman" w:eastAsia="仿宋_GB2312"/>
          <w:sz w:val="30"/>
          <w:szCs w:val="30"/>
        </w:rPr>
        <w:t>的成效检视及改进建议</w:t>
      </w:r>
      <w:r>
        <w:rPr>
          <w:rFonts w:hint="eastAsia" w:ascii="Times New Roman" w:hAnsi="Times New Roman" w:eastAsia="仿宋_GB2312"/>
          <w:sz w:val="30"/>
          <w:szCs w:val="30"/>
        </w:rPr>
        <w:t>；裁判文书公开和庭审公开问题等。</w:t>
      </w:r>
    </w:p>
    <w:p>
      <w:pPr>
        <w:spacing w:line="600" w:lineRule="exact"/>
        <w:ind w:left="600"/>
        <w:rPr>
          <w:rFonts w:ascii="Times New Roman" w:hAnsi="Times New Roman" w:eastAsia="黑体"/>
          <w:sz w:val="30"/>
          <w:szCs w:val="30"/>
        </w:rPr>
      </w:pPr>
      <w:r>
        <w:rPr>
          <w:rFonts w:hint="eastAsia" w:ascii="Times New Roman" w:hAnsi="黑体" w:eastAsia="黑体"/>
          <w:sz w:val="30"/>
          <w:szCs w:val="30"/>
        </w:rPr>
        <w:t>八</w:t>
      </w:r>
      <w:r>
        <w:rPr>
          <w:rFonts w:ascii="Times New Roman" w:hAnsi="黑体" w:eastAsia="黑体"/>
          <w:sz w:val="30"/>
          <w:szCs w:val="30"/>
        </w:rPr>
        <w:t>、</w:t>
      </w:r>
      <w:r>
        <w:rPr>
          <w:rFonts w:hint="eastAsia" w:ascii="黑体" w:hAnsi="黑体" w:eastAsia="黑体" w:cs="黑体"/>
          <w:sz w:val="30"/>
          <w:szCs w:val="30"/>
        </w:rPr>
        <w:t>司法责任认定与追究机制研究</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研究重点：司法责任认定与追究机制建设的进展与问题，构建系统完备、规范高效的司法责任认定与追究机制的意见建议;审判组织与司法责任的关系，新型审判权力运行机制与审判责任制度衔接问题；院庭长监督管理责任与合议庭审判责任的划分，合议庭违法审判责任的内部划分机制和问责方式；违反审判责任落实与法官惩戒制度、纪检监察审查调查程序关系问题等。</w:t>
      </w:r>
    </w:p>
    <w:p>
      <w:pPr>
        <w:spacing w:line="600" w:lineRule="exact"/>
        <w:ind w:firstLine="600" w:firstLineChars="200"/>
        <w:rPr>
          <w:rFonts w:ascii="Times New Roman" w:hAnsi="Times New Roman" w:eastAsia="黑体"/>
          <w:sz w:val="30"/>
          <w:szCs w:val="30"/>
        </w:rPr>
      </w:pPr>
      <w:r>
        <w:rPr>
          <w:rFonts w:hint="eastAsia" w:ascii="Times New Roman" w:hAnsi="黑体" w:eastAsia="黑体"/>
          <w:sz w:val="30"/>
          <w:szCs w:val="30"/>
        </w:rPr>
        <w:t>九</w:t>
      </w:r>
      <w:r>
        <w:rPr>
          <w:rFonts w:ascii="Times New Roman" w:hAnsi="黑体" w:eastAsia="黑体"/>
          <w:sz w:val="30"/>
          <w:szCs w:val="30"/>
        </w:rPr>
        <w:t>、深化以审判为中心的刑事诉讼制度改革研究</w:t>
      </w:r>
    </w:p>
    <w:p>
      <w:pPr>
        <w:widowControl/>
        <w:spacing w:line="600" w:lineRule="exact"/>
        <w:jc w:val="left"/>
        <w:rPr>
          <w:rFonts w:ascii="Times New Roman" w:hAnsi="Times New Roman" w:eastAsia="仿宋_GB2312"/>
          <w:sz w:val="30"/>
          <w:szCs w:val="30"/>
        </w:rPr>
      </w:pPr>
      <w:r>
        <w:rPr>
          <w:rFonts w:ascii="Times New Roman" w:hAnsi="Times New Roman" w:eastAsia="仿宋_GB2312"/>
          <w:sz w:val="30"/>
          <w:szCs w:val="30"/>
        </w:rPr>
        <w:t xml:space="preserve">    研究重点：以审判为中心的刑事诉讼制度改革成效评估；强化庭审实质化的具体举措；通过立法修改巩固改革成果、推进改革深化的具体方案；</w:t>
      </w:r>
      <w:r>
        <w:rPr>
          <w:rFonts w:hint="eastAsia" w:ascii="Times New Roman" w:hAnsi="Times New Roman" w:eastAsia="仿宋_GB2312"/>
          <w:sz w:val="30"/>
          <w:szCs w:val="30"/>
        </w:rPr>
        <w:t>亟需</w:t>
      </w:r>
      <w:r>
        <w:rPr>
          <w:rFonts w:ascii="Times New Roman" w:hAnsi="Times New Roman" w:eastAsia="仿宋_GB2312"/>
          <w:sz w:val="30"/>
          <w:szCs w:val="30"/>
        </w:rPr>
        <w:t>通过立法、司法解释等解决的</w:t>
      </w:r>
      <w:r>
        <w:rPr>
          <w:rFonts w:hint="eastAsia" w:ascii="Times New Roman" w:hAnsi="Times New Roman" w:eastAsia="仿宋_GB2312"/>
          <w:sz w:val="30"/>
          <w:szCs w:val="30"/>
        </w:rPr>
        <w:t>刑事诉讼制度</w:t>
      </w:r>
      <w:r>
        <w:rPr>
          <w:rFonts w:ascii="Times New Roman" w:hAnsi="Times New Roman" w:eastAsia="仿宋_GB2312"/>
          <w:sz w:val="30"/>
          <w:szCs w:val="30"/>
        </w:rPr>
        <w:t>其他问题等。</w:t>
      </w:r>
    </w:p>
    <w:p>
      <w:pPr>
        <w:spacing w:line="600" w:lineRule="exact"/>
        <w:ind w:firstLine="600" w:firstLineChars="200"/>
        <w:rPr>
          <w:rFonts w:ascii="Times New Roman" w:hAnsi="Times New Roman" w:eastAsia="仿宋_GB2312"/>
          <w:sz w:val="30"/>
          <w:szCs w:val="30"/>
        </w:rPr>
      </w:pPr>
      <w:r>
        <w:rPr>
          <w:rFonts w:hint="eastAsia" w:ascii="Times New Roman" w:hAnsi="黑体" w:eastAsia="黑体"/>
          <w:sz w:val="30"/>
          <w:szCs w:val="30"/>
        </w:rPr>
        <w:t>十</w:t>
      </w:r>
      <w:r>
        <w:rPr>
          <w:rFonts w:ascii="Times New Roman" w:hAnsi="黑体" w:eastAsia="黑体"/>
          <w:sz w:val="30"/>
          <w:szCs w:val="30"/>
        </w:rPr>
        <w:t>、</w:t>
      </w:r>
      <w:r>
        <w:rPr>
          <w:rFonts w:ascii="Times New Roman" w:hAnsi="Times New Roman" w:eastAsia="黑体"/>
          <w:sz w:val="30"/>
          <w:szCs w:val="30"/>
        </w:rPr>
        <w:t>“</w:t>
      </w:r>
      <w:r>
        <w:rPr>
          <w:rFonts w:ascii="Times New Roman" w:hAnsi="黑体" w:eastAsia="黑体"/>
          <w:sz w:val="30"/>
          <w:szCs w:val="30"/>
        </w:rPr>
        <w:t>两卡</w:t>
      </w:r>
      <w:r>
        <w:rPr>
          <w:rFonts w:ascii="Times New Roman" w:hAnsi="Times New Roman" w:eastAsia="黑体"/>
          <w:sz w:val="30"/>
          <w:szCs w:val="30"/>
        </w:rPr>
        <w:t>”</w:t>
      </w:r>
      <w:r>
        <w:rPr>
          <w:rFonts w:ascii="Times New Roman" w:hAnsi="黑体" w:eastAsia="黑体"/>
          <w:sz w:val="30"/>
          <w:szCs w:val="30"/>
        </w:rPr>
        <w:t>案件所涉帮助信息网络犯罪活动罪的司法适用与政策完善研究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帮助信息网络犯罪活动罪的总体态势；信息网络犯罪线上、线下帮助行为的法益侵害程度比较；“两卡”案件适用帮助信息网络犯罪活动罪的入罪问题、与上下游犯罪的认定问题；帮助信息网络犯罪活动罪其他法律适用难题研究等。</w:t>
      </w:r>
    </w:p>
    <w:p>
      <w:pPr>
        <w:spacing w:line="600" w:lineRule="exact"/>
        <w:ind w:firstLine="600" w:firstLineChars="200"/>
        <w:rPr>
          <w:rFonts w:ascii="Times New Roman" w:hAnsi="Times New Roman" w:eastAsia="黑体"/>
          <w:sz w:val="30"/>
          <w:szCs w:val="30"/>
        </w:rPr>
      </w:pPr>
      <w:r>
        <w:rPr>
          <w:rFonts w:ascii="Times New Roman" w:hAnsi="黑体" w:eastAsia="黑体"/>
          <w:sz w:val="30"/>
          <w:szCs w:val="30"/>
        </w:rPr>
        <w:t>十</w:t>
      </w:r>
      <w:r>
        <w:rPr>
          <w:rFonts w:hint="eastAsia" w:ascii="Times New Roman" w:hAnsi="黑体" w:eastAsia="黑体"/>
          <w:sz w:val="30"/>
          <w:szCs w:val="30"/>
        </w:rPr>
        <w:t>一</w:t>
      </w:r>
      <w:r>
        <w:rPr>
          <w:rFonts w:ascii="Times New Roman" w:hAnsi="黑体" w:eastAsia="黑体"/>
          <w:sz w:val="30"/>
          <w:szCs w:val="30"/>
        </w:rPr>
        <w:t>、企业合规司法实务问题研究</w:t>
      </w:r>
    </w:p>
    <w:p>
      <w:pPr>
        <w:rPr>
          <w:rFonts w:ascii="Times New Roman" w:hAnsi="Times New Roman" w:eastAsia="仿宋_GB2312"/>
          <w:sz w:val="30"/>
          <w:szCs w:val="30"/>
        </w:rPr>
      </w:pPr>
      <w:r>
        <w:rPr>
          <w:rFonts w:ascii="Times New Roman" w:hAnsi="Times New Roman" w:eastAsia="仿宋_GB2312"/>
          <w:sz w:val="30"/>
          <w:szCs w:val="30"/>
        </w:rPr>
        <w:t xml:space="preserve">    研究重点：企业合规进入司法审查程序的条件、适用案件的范围；适用涉案企业的范围；企业责任与关联人员的责任；企业合规进入司法审查的程序选择；企业合规监管人制度的设置；合规整改和合规验收的标准问题等。</w:t>
      </w:r>
    </w:p>
    <w:p>
      <w:pPr>
        <w:spacing w:line="600" w:lineRule="exact"/>
        <w:ind w:firstLine="600" w:firstLineChars="200"/>
        <w:rPr>
          <w:rFonts w:ascii="Times New Roman" w:hAnsi="Times New Roman" w:eastAsia="黑体"/>
          <w:sz w:val="30"/>
          <w:szCs w:val="30"/>
        </w:rPr>
      </w:pPr>
      <w:r>
        <w:rPr>
          <w:rFonts w:hint="eastAsia" w:ascii="Times New Roman" w:hAnsi="黑体" w:eastAsia="黑体"/>
          <w:sz w:val="30"/>
          <w:szCs w:val="30"/>
        </w:rPr>
        <w:t>十二</w:t>
      </w:r>
      <w:r>
        <w:rPr>
          <w:rFonts w:ascii="Times New Roman" w:hAnsi="黑体" w:eastAsia="黑体"/>
          <w:sz w:val="30"/>
          <w:szCs w:val="30"/>
        </w:rPr>
        <w:t>、民法典的体系化适用研究</w:t>
      </w:r>
    </w:p>
    <w:p>
      <w:pPr>
        <w:spacing w:line="60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研究重点：准确把握民法典的体系化特征；科学运用法律解释方法，正确认识民法典总则编与各分编以及各分编相互之间的逻辑关系；准确把握“总则与分则”“原则与规则”“一般与特殊”“依据与参照”的适用关系等。</w:t>
      </w:r>
    </w:p>
    <w:p>
      <w:pPr>
        <w:spacing w:line="600" w:lineRule="exact"/>
        <w:ind w:firstLine="600" w:firstLineChars="200"/>
        <w:rPr>
          <w:rFonts w:ascii="Times New Roman" w:hAnsi="Times New Roman" w:eastAsia="黑体"/>
          <w:sz w:val="30"/>
          <w:szCs w:val="30"/>
        </w:rPr>
      </w:pPr>
      <w:r>
        <w:rPr>
          <w:rFonts w:hint="eastAsia" w:ascii="Times New Roman" w:hAnsi="黑体" w:eastAsia="黑体"/>
          <w:sz w:val="30"/>
          <w:szCs w:val="30"/>
        </w:rPr>
        <w:t>十三</w:t>
      </w:r>
      <w:r>
        <w:rPr>
          <w:rFonts w:ascii="Times New Roman" w:hAnsi="黑体" w:eastAsia="黑体"/>
          <w:sz w:val="30"/>
          <w:szCs w:val="30"/>
        </w:rPr>
        <w:t>、惩罚性赔偿制度</w:t>
      </w:r>
      <w:r>
        <w:rPr>
          <w:rFonts w:hint="eastAsia" w:ascii="Times New Roman" w:hAnsi="黑体" w:eastAsia="黑体"/>
          <w:sz w:val="30"/>
          <w:szCs w:val="30"/>
        </w:rPr>
        <w:t>实证问题</w:t>
      </w:r>
      <w:r>
        <w:rPr>
          <w:rFonts w:ascii="Times New Roman" w:hAnsi="黑体" w:eastAsia="黑体"/>
          <w:sz w:val="30"/>
          <w:szCs w:val="30"/>
        </w:rPr>
        <w:t>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研究重点：惩罚性赔偿</w:t>
      </w:r>
      <w:r>
        <w:rPr>
          <w:rFonts w:hint="eastAsia" w:ascii="Times New Roman" w:hAnsi="Times New Roman" w:eastAsia="仿宋_GB2312"/>
          <w:sz w:val="30"/>
          <w:szCs w:val="30"/>
        </w:rPr>
        <w:t>制度</w:t>
      </w:r>
      <w:r>
        <w:rPr>
          <w:rFonts w:ascii="Times New Roman" w:hAnsi="Times New Roman" w:eastAsia="仿宋_GB2312"/>
          <w:sz w:val="30"/>
          <w:szCs w:val="30"/>
        </w:rPr>
        <w:t>的一般</w:t>
      </w:r>
      <w:r>
        <w:rPr>
          <w:rFonts w:hint="eastAsia" w:ascii="Times New Roman" w:hAnsi="Times New Roman" w:eastAsia="仿宋_GB2312"/>
          <w:sz w:val="30"/>
          <w:szCs w:val="30"/>
        </w:rPr>
        <w:t>性理论和适用原则</w:t>
      </w:r>
      <w:r>
        <w:rPr>
          <w:rFonts w:ascii="Times New Roman" w:hAnsi="Times New Roman" w:eastAsia="仿宋_GB2312"/>
          <w:sz w:val="30"/>
          <w:szCs w:val="30"/>
        </w:rPr>
        <w:t>；</w:t>
      </w:r>
      <w:r>
        <w:rPr>
          <w:rFonts w:hint="eastAsia" w:ascii="Times New Roman" w:hAnsi="Times New Roman" w:eastAsia="仿宋_GB2312"/>
          <w:sz w:val="30"/>
          <w:szCs w:val="30"/>
        </w:rPr>
        <w:t>不同类型案件适用惩罚性赔偿制度的裁判方法及赔偿数额量定规则；</w:t>
      </w:r>
      <w:r>
        <w:rPr>
          <w:rFonts w:ascii="Times New Roman" w:hAnsi="Times New Roman" w:eastAsia="仿宋_GB2312"/>
          <w:sz w:val="30"/>
          <w:szCs w:val="30"/>
        </w:rPr>
        <w:t>惩罚性赔偿</w:t>
      </w:r>
      <w:r>
        <w:rPr>
          <w:rFonts w:hint="eastAsia" w:ascii="Times New Roman" w:hAnsi="Times New Roman" w:eastAsia="仿宋_GB2312"/>
          <w:sz w:val="30"/>
          <w:szCs w:val="30"/>
        </w:rPr>
        <w:t>与法定赔偿的协调适用及司法实证疑难问题</w:t>
      </w:r>
      <w:r>
        <w:rPr>
          <w:rFonts w:ascii="Times New Roman" w:hAnsi="Times New Roman" w:eastAsia="仿宋_GB2312"/>
          <w:sz w:val="30"/>
          <w:szCs w:val="30"/>
        </w:rPr>
        <w:t>；</w:t>
      </w:r>
      <w:r>
        <w:rPr>
          <w:rFonts w:hint="eastAsia" w:ascii="Times New Roman" w:hAnsi="Times New Roman" w:eastAsia="仿宋_GB2312"/>
          <w:sz w:val="30"/>
          <w:szCs w:val="30"/>
        </w:rPr>
        <w:t>惩罚性赔偿与补偿性赔偿的关系及理解与适用；两岸</w:t>
      </w:r>
      <w:r>
        <w:rPr>
          <w:rFonts w:ascii="Times New Roman" w:hAnsi="Times New Roman" w:eastAsia="仿宋_GB2312"/>
          <w:sz w:val="30"/>
          <w:szCs w:val="30"/>
        </w:rPr>
        <w:t>惩罚性赔偿</w:t>
      </w:r>
      <w:r>
        <w:rPr>
          <w:rFonts w:hint="eastAsia" w:ascii="Times New Roman" w:hAnsi="Times New Roman" w:eastAsia="仿宋_GB2312"/>
          <w:sz w:val="30"/>
          <w:szCs w:val="30"/>
        </w:rPr>
        <w:t>司法</w:t>
      </w:r>
      <w:r>
        <w:rPr>
          <w:rFonts w:ascii="Times New Roman" w:hAnsi="Times New Roman" w:eastAsia="仿宋_GB2312"/>
          <w:sz w:val="30"/>
          <w:szCs w:val="30"/>
        </w:rPr>
        <w:t>问题</w:t>
      </w:r>
      <w:r>
        <w:rPr>
          <w:rFonts w:hint="eastAsia" w:ascii="Times New Roman" w:hAnsi="Times New Roman" w:eastAsia="仿宋_GB2312"/>
          <w:sz w:val="30"/>
          <w:szCs w:val="30"/>
        </w:rPr>
        <w:t>比较研究</w:t>
      </w:r>
      <w:r>
        <w:rPr>
          <w:rFonts w:ascii="Times New Roman" w:hAnsi="Times New Roman" w:eastAsia="仿宋_GB2312"/>
          <w:sz w:val="30"/>
          <w:szCs w:val="30"/>
        </w:rPr>
        <w:t>等。</w:t>
      </w:r>
    </w:p>
    <w:p>
      <w:pPr>
        <w:spacing w:line="600" w:lineRule="exact"/>
        <w:ind w:firstLine="600" w:firstLineChars="200"/>
        <w:rPr>
          <w:rFonts w:ascii="Times New Roman" w:hAnsi="Times New Roman" w:eastAsia="黑体"/>
          <w:sz w:val="30"/>
          <w:szCs w:val="30"/>
        </w:rPr>
      </w:pPr>
      <w:r>
        <w:rPr>
          <w:rFonts w:ascii="Times New Roman" w:hAnsi="黑体" w:eastAsia="黑体"/>
          <w:sz w:val="30"/>
          <w:szCs w:val="30"/>
        </w:rPr>
        <w:t>十</w:t>
      </w:r>
      <w:r>
        <w:rPr>
          <w:rFonts w:hint="eastAsia" w:ascii="Times New Roman" w:hAnsi="黑体" w:eastAsia="黑体"/>
          <w:sz w:val="30"/>
          <w:szCs w:val="30"/>
        </w:rPr>
        <w:t>四</w:t>
      </w:r>
      <w:r>
        <w:rPr>
          <w:rFonts w:ascii="Times New Roman" w:hAnsi="黑体" w:eastAsia="黑体"/>
          <w:sz w:val="30"/>
          <w:szCs w:val="30"/>
        </w:rPr>
        <w:t>、虚拟财产的法律性质及司法保护路径研究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虚拟财产的概念、性质和类型研究；涉虚拟财产民事、刑事案件的实证分析；国外虚拟财产发展及司法实践比较研究；虚拟财产相关权利变动规则；网络虚拟财产交易的风险及规制；涉虚拟财产保护相关司法解释制定实证研究等。</w:t>
      </w:r>
    </w:p>
    <w:p>
      <w:pPr>
        <w:spacing w:line="600" w:lineRule="exact"/>
        <w:ind w:firstLine="600" w:firstLineChars="200"/>
        <w:rPr>
          <w:rFonts w:ascii="Times New Roman" w:hAnsi="Times New Roman" w:eastAsia="黑体"/>
          <w:sz w:val="30"/>
          <w:szCs w:val="30"/>
        </w:rPr>
      </w:pPr>
      <w:r>
        <w:rPr>
          <w:rFonts w:ascii="Times New Roman" w:hAnsi="黑体" w:eastAsia="黑体"/>
          <w:sz w:val="30"/>
          <w:szCs w:val="30"/>
        </w:rPr>
        <w:t>十</w:t>
      </w:r>
      <w:r>
        <w:rPr>
          <w:rFonts w:hint="eastAsia" w:ascii="Times New Roman" w:hAnsi="黑体" w:eastAsia="黑体"/>
          <w:sz w:val="30"/>
          <w:szCs w:val="30"/>
        </w:rPr>
        <w:t>五</w:t>
      </w:r>
      <w:r>
        <w:rPr>
          <w:rFonts w:ascii="Times New Roman" w:hAnsi="黑体" w:eastAsia="黑体"/>
          <w:sz w:val="30"/>
          <w:szCs w:val="30"/>
        </w:rPr>
        <w:t>、商业银行与客户之间纠纷的</w:t>
      </w:r>
      <w:r>
        <w:rPr>
          <w:rFonts w:hint="eastAsia" w:ascii="Times New Roman" w:hAnsi="黑体" w:eastAsia="黑体"/>
          <w:sz w:val="30"/>
          <w:szCs w:val="30"/>
        </w:rPr>
        <w:t>法律适用问题</w:t>
      </w:r>
      <w:r>
        <w:rPr>
          <w:rFonts w:ascii="Times New Roman" w:hAnsi="黑体" w:eastAsia="黑体"/>
          <w:sz w:val="30"/>
          <w:szCs w:val="30"/>
        </w:rPr>
        <w:t>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商业银行与客户之间纠纷的案件类型及裁判思路总结；商业银行开展表内业务和表外业务与客户之间形成的多重法律关系及各方权利义务的规范分析；民事、行政、刑事交叉案件类型中商业银行的归责依据及责任</w:t>
      </w:r>
      <w:r>
        <w:rPr>
          <w:rFonts w:hint="eastAsia" w:ascii="Times New Roman" w:hAnsi="Times New Roman" w:eastAsia="仿宋_GB2312"/>
          <w:sz w:val="30"/>
          <w:szCs w:val="30"/>
          <w:lang w:val="en-US" w:eastAsia="zh-CN"/>
        </w:rPr>
        <w:t>承担</w:t>
      </w:r>
      <w:r>
        <w:rPr>
          <w:rFonts w:ascii="Times New Roman" w:hAnsi="Times New Roman" w:eastAsia="仿宋_GB2312"/>
          <w:sz w:val="30"/>
          <w:szCs w:val="30"/>
        </w:rPr>
        <w:t>方式；制定和完善司法解释</w:t>
      </w:r>
      <w:r>
        <w:rPr>
          <w:rFonts w:hint="eastAsia" w:ascii="Times New Roman" w:hAnsi="Times New Roman" w:eastAsia="仿宋_GB2312"/>
          <w:sz w:val="30"/>
          <w:szCs w:val="30"/>
        </w:rPr>
        <w:t>或司法</w:t>
      </w:r>
      <w:r>
        <w:rPr>
          <w:rFonts w:ascii="Times New Roman" w:hAnsi="Times New Roman" w:eastAsia="仿宋_GB2312"/>
          <w:sz w:val="30"/>
          <w:szCs w:val="30"/>
        </w:rPr>
        <w:t>政策</w:t>
      </w:r>
      <w:r>
        <w:rPr>
          <w:rFonts w:hint="eastAsia" w:ascii="Times New Roman" w:hAnsi="Times New Roman" w:eastAsia="仿宋_GB2312"/>
          <w:sz w:val="30"/>
          <w:szCs w:val="30"/>
        </w:rPr>
        <w:t>的</w:t>
      </w:r>
      <w:r>
        <w:rPr>
          <w:rFonts w:ascii="Times New Roman" w:hAnsi="Times New Roman" w:eastAsia="仿宋_GB2312"/>
          <w:sz w:val="30"/>
          <w:szCs w:val="30"/>
        </w:rPr>
        <w:t>建议等。</w:t>
      </w:r>
    </w:p>
    <w:p>
      <w:pPr>
        <w:spacing w:line="600" w:lineRule="exact"/>
        <w:ind w:firstLine="600" w:firstLineChars="200"/>
        <w:rPr>
          <w:rFonts w:ascii="Times New Roman" w:hAnsi="Times New Roman" w:eastAsia="黑体"/>
          <w:sz w:val="30"/>
          <w:szCs w:val="30"/>
        </w:rPr>
      </w:pPr>
      <w:r>
        <w:rPr>
          <w:rFonts w:ascii="Times New Roman" w:hAnsi="黑体" w:eastAsia="黑体"/>
          <w:sz w:val="30"/>
          <w:szCs w:val="30"/>
        </w:rPr>
        <w:t>十</w:t>
      </w:r>
      <w:r>
        <w:rPr>
          <w:rFonts w:hint="eastAsia" w:ascii="Times New Roman" w:hAnsi="黑体" w:eastAsia="黑体"/>
          <w:sz w:val="30"/>
          <w:szCs w:val="30"/>
        </w:rPr>
        <w:t>六</w:t>
      </w:r>
      <w:r>
        <w:rPr>
          <w:rFonts w:ascii="Times New Roman" w:hAnsi="黑体" w:eastAsia="黑体"/>
          <w:sz w:val="30"/>
          <w:szCs w:val="30"/>
        </w:rPr>
        <w:t>、海外利益司法保护问题研究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w:t>
      </w:r>
      <w:r>
        <w:rPr>
          <w:rFonts w:hint="eastAsia" w:ascii="Times New Roman" w:hAnsi="Times New Roman" w:eastAsia="仿宋_GB2312"/>
          <w:sz w:val="30"/>
          <w:szCs w:val="30"/>
        </w:rPr>
        <w:t>：涉外案件管辖规则研究；构建禁诉令法律制度的司法实践及建议；我国民商事司法协助法律制度完善路径；承认和执行投资仲裁裁决的法律制度构建路径；新加坡调解公约的司法实施、完善我国调解立法研究；以反垄断法和标准必要专利为实例研究中国法域外适用；反外国制裁法的司法实施问题研究等</w:t>
      </w:r>
      <w:r>
        <w:rPr>
          <w:rFonts w:ascii="Times New Roman" w:hAnsi="Times New Roman" w:eastAsia="仿宋_GB2312"/>
          <w:sz w:val="30"/>
          <w:szCs w:val="30"/>
        </w:rPr>
        <w:t>。</w:t>
      </w:r>
    </w:p>
    <w:p>
      <w:pPr>
        <w:spacing w:line="600" w:lineRule="exact"/>
        <w:ind w:firstLine="600" w:firstLineChars="200"/>
        <w:rPr>
          <w:rFonts w:ascii="Times New Roman" w:hAnsi="Times New Roman" w:eastAsia="黑体"/>
          <w:sz w:val="30"/>
          <w:szCs w:val="30"/>
        </w:rPr>
      </w:pPr>
      <w:r>
        <w:rPr>
          <w:rFonts w:hint="eastAsia" w:ascii="Times New Roman" w:hAnsi="黑体" w:eastAsia="黑体"/>
          <w:sz w:val="30"/>
          <w:szCs w:val="30"/>
        </w:rPr>
        <w:t>十七</w:t>
      </w:r>
      <w:r>
        <w:rPr>
          <w:rFonts w:ascii="Times New Roman" w:hAnsi="黑体" w:eastAsia="黑体"/>
          <w:sz w:val="30"/>
          <w:szCs w:val="30"/>
        </w:rPr>
        <w:t>、</w:t>
      </w:r>
      <w:r>
        <w:rPr>
          <w:rFonts w:hint="eastAsia" w:ascii="Times New Roman" w:hAnsi="黑体" w:eastAsia="黑体"/>
          <w:sz w:val="30"/>
          <w:szCs w:val="30"/>
        </w:rPr>
        <w:t>数据权益</w:t>
      </w:r>
      <w:r>
        <w:rPr>
          <w:rFonts w:ascii="Times New Roman" w:hAnsi="黑体" w:eastAsia="黑体"/>
          <w:sz w:val="30"/>
          <w:szCs w:val="30"/>
        </w:rPr>
        <w:t>知识产权</w:t>
      </w:r>
      <w:r>
        <w:rPr>
          <w:rFonts w:hint="eastAsia" w:ascii="Times New Roman" w:hAnsi="黑体" w:eastAsia="黑体"/>
          <w:sz w:val="30"/>
          <w:szCs w:val="30"/>
        </w:rPr>
        <w:t>司法保护</w:t>
      </w:r>
      <w:r>
        <w:rPr>
          <w:rFonts w:ascii="Times New Roman" w:hAnsi="黑体" w:eastAsia="黑体"/>
          <w:sz w:val="30"/>
          <w:szCs w:val="30"/>
        </w:rPr>
        <w:t>问题研究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研究重点：数据权益知识产权司法保护路径及</w:t>
      </w:r>
      <w:r>
        <w:rPr>
          <w:rFonts w:hint="eastAsia" w:ascii="Times New Roman" w:hAnsi="Times New Roman" w:eastAsia="仿宋_GB2312"/>
          <w:sz w:val="30"/>
          <w:szCs w:val="30"/>
        </w:rPr>
        <w:t>规则</w:t>
      </w:r>
      <w:r>
        <w:rPr>
          <w:rFonts w:ascii="Times New Roman" w:hAnsi="Times New Roman" w:eastAsia="仿宋_GB2312"/>
          <w:sz w:val="30"/>
          <w:szCs w:val="30"/>
        </w:rPr>
        <w:t>构建</w:t>
      </w:r>
      <w:r>
        <w:rPr>
          <w:rFonts w:hint="eastAsia" w:ascii="Times New Roman" w:hAnsi="Times New Roman" w:eastAsia="仿宋_GB2312"/>
          <w:sz w:val="30"/>
          <w:szCs w:val="30"/>
        </w:rPr>
        <w:t>建议</w:t>
      </w:r>
      <w:r>
        <w:rPr>
          <w:rFonts w:ascii="Times New Roman" w:hAnsi="Times New Roman" w:eastAsia="仿宋_GB2312"/>
          <w:sz w:val="30"/>
          <w:szCs w:val="30"/>
        </w:rPr>
        <w:t>；涉</w:t>
      </w:r>
      <w:r>
        <w:rPr>
          <w:rFonts w:hint="eastAsia" w:ascii="Times New Roman" w:hAnsi="Times New Roman" w:eastAsia="仿宋_GB2312"/>
          <w:sz w:val="30"/>
          <w:szCs w:val="30"/>
        </w:rPr>
        <w:t>数据权益纠纷</w:t>
      </w:r>
      <w:r>
        <w:rPr>
          <w:rFonts w:ascii="Times New Roman" w:hAnsi="Times New Roman" w:eastAsia="仿宋_GB2312"/>
          <w:sz w:val="30"/>
          <w:szCs w:val="30"/>
        </w:rPr>
        <w:t>的</w:t>
      </w:r>
      <w:r>
        <w:rPr>
          <w:rFonts w:hint="eastAsia" w:ascii="Times New Roman" w:hAnsi="Times New Roman" w:eastAsia="仿宋_GB2312"/>
          <w:sz w:val="30"/>
          <w:szCs w:val="30"/>
        </w:rPr>
        <w:t>审理机制、</w:t>
      </w:r>
      <w:r>
        <w:rPr>
          <w:rFonts w:ascii="Times New Roman" w:hAnsi="Times New Roman" w:eastAsia="仿宋_GB2312"/>
          <w:sz w:val="30"/>
          <w:szCs w:val="30"/>
        </w:rPr>
        <w:t>裁判规则、证据审查等司法</w:t>
      </w:r>
      <w:r>
        <w:rPr>
          <w:rFonts w:hint="eastAsia" w:ascii="Times New Roman" w:hAnsi="Times New Roman" w:eastAsia="仿宋_GB2312"/>
          <w:sz w:val="30"/>
          <w:szCs w:val="30"/>
        </w:rPr>
        <w:t>实证</w:t>
      </w:r>
      <w:r>
        <w:rPr>
          <w:rFonts w:ascii="Times New Roman" w:hAnsi="Times New Roman" w:eastAsia="仿宋_GB2312"/>
          <w:sz w:val="30"/>
          <w:szCs w:val="30"/>
        </w:rPr>
        <w:t>问题；数据不正当竞争行为的认定标准</w:t>
      </w:r>
      <w:r>
        <w:rPr>
          <w:rFonts w:hint="eastAsia" w:ascii="Times New Roman" w:hAnsi="Times New Roman" w:eastAsia="仿宋_GB2312"/>
          <w:sz w:val="30"/>
          <w:szCs w:val="30"/>
        </w:rPr>
        <w:t>及</w:t>
      </w:r>
      <w:r>
        <w:rPr>
          <w:rFonts w:ascii="Times New Roman" w:hAnsi="Times New Roman" w:eastAsia="仿宋_GB2312"/>
          <w:sz w:val="30"/>
          <w:szCs w:val="30"/>
        </w:rPr>
        <w:t>法律责任，完善数据不正当竞争行为法律规制</w:t>
      </w:r>
      <w:r>
        <w:rPr>
          <w:rFonts w:hint="eastAsia" w:ascii="Times New Roman" w:hAnsi="Times New Roman" w:eastAsia="仿宋_GB2312"/>
          <w:sz w:val="30"/>
          <w:szCs w:val="30"/>
        </w:rPr>
        <w:t>的</w:t>
      </w:r>
      <w:r>
        <w:rPr>
          <w:rFonts w:ascii="Times New Roman" w:hAnsi="Times New Roman" w:eastAsia="仿宋_GB2312"/>
          <w:sz w:val="30"/>
          <w:szCs w:val="30"/>
        </w:rPr>
        <w:t>建议；域外数据权益知识产权司法保护的比较研究等。</w:t>
      </w:r>
    </w:p>
    <w:p>
      <w:pPr>
        <w:spacing w:line="600" w:lineRule="exact"/>
        <w:ind w:firstLine="600" w:firstLineChars="200"/>
        <w:rPr>
          <w:rFonts w:ascii="Times New Roman" w:hAnsi="Times New Roman" w:eastAsia="黑体"/>
          <w:sz w:val="30"/>
          <w:szCs w:val="30"/>
        </w:rPr>
      </w:pPr>
      <w:r>
        <w:rPr>
          <w:rFonts w:ascii="Times New Roman" w:hAnsi="黑体" w:eastAsia="黑体"/>
          <w:sz w:val="30"/>
          <w:szCs w:val="30"/>
        </w:rPr>
        <w:t>十</w:t>
      </w:r>
      <w:r>
        <w:rPr>
          <w:rFonts w:hint="eastAsia" w:ascii="Times New Roman" w:hAnsi="黑体" w:eastAsia="黑体"/>
          <w:sz w:val="30"/>
          <w:szCs w:val="30"/>
        </w:rPr>
        <w:t>八</w:t>
      </w:r>
      <w:r>
        <w:rPr>
          <w:rFonts w:ascii="Times New Roman" w:hAnsi="黑体" w:eastAsia="黑体"/>
          <w:sz w:val="30"/>
          <w:szCs w:val="30"/>
        </w:rPr>
        <w:t>、人工智能发展的司法应对研究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研究重点：人工智能及其设计者民事主体性问题；人工智能生成内容的知识产权权属认定</w:t>
      </w:r>
      <w:r>
        <w:rPr>
          <w:rFonts w:hint="eastAsia" w:ascii="Times New Roman" w:hAnsi="Times New Roman" w:eastAsia="仿宋_GB2312"/>
          <w:sz w:val="30"/>
          <w:szCs w:val="30"/>
        </w:rPr>
        <w:t>问题</w:t>
      </w:r>
      <w:r>
        <w:rPr>
          <w:rFonts w:ascii="Times New Roman" w:hAnsi="Times New Roman" w:eastAsia="仿宋_GB2312"/>
          <w:sz w:val="30"/>
          <w:szCs w:val="30"/>
        </w:rPr>
        <w:t>；</w:t>
      </w:r>
      <w:r>
        <w:rPr>
          <w:rFonts w:hint="eastAsia" w:ascii="Times New Roman" w:hAnsi="Times New Roman" w:eastAsia="仿宋_GB2312"/>
          <w:sz w:val="30"/>
          <w:szCs w:val="30"/>
        </w:rPr>
        <w:t>涉人工智能新型案件司法裁判比较研究；</w:t>
      </w:r>
      <w:r>
        <w:rPr>
          <w:rFonts w:ascii="Times New Roman" w:hAnsi="Times New Roman" w:eastAsia="仿宋_GB2312"/>
          <w:sz w:val="30"/>
          <w:szCs w:val="30"/>
        </w:rPr>
        <w:t>人工智能</w:t>
      </w:r>
      <w:r>
        <w:rPr>
          <w:rFonts w:hint="eastAsia" w:ascii="Times New Roman" w:hAnsi="Times New Roman" w:eastAsia="仿宋_GB2312"/>
          <w:sz w:val="30"/>
          <w:szCs w:val="30"/>
        </w:rPr>
        <w:t>技术应用</w:t>
      </w:r>
      <w:r>
        <w:rPr>
          <w:rFonts w:ascii="Times New Roman" w:hAnsi="Times New Roman" w:eastAsia="仿宋_GB2312"/>
          <w:sz w:val="30"/>
          <w:szCs w:val="30"/>
        </w:rPr>
        <w:t>的个人信息保护问题；人工智能</w:t>
      </w:r>
      <w:r>
        <w:rPr>
          <w:rFonts w:hint="eastAsia" w:ascii="Times New Roman" w:hAnsi="Times New Roman" w:eastAsia="仿宋_GB2312"/>
          <w:sz w:val="30"/>
          <w:szCs w:val="30"/>
        </w:rPr>
        <w:t>治理规则与司法挑战</w:t>
      </w:r>
      <w:r>
        <w:rPr>
          <w:rFonts w:ascii="Times New Roman" w:hAnsi="Times New Roman" w:eastAsia="仿宋_GB2312"/>
          <w:sz w:val="30"/>
          <w:szCs w:val="30"/>
        </w:rPr>
        <w:t>；从司法层面引导人工智能发展“科技向善”的对策建议等。</w:t>
      </w:r>
    </w:p>
    <w:p>
      <w:pPr>
        <w:spacing w:line="600" w:lineRule="exact"/>
        <w:ind w:firstLine="600" w:firstLineChars="200"/>
        <w:rPr>
          <w:rFonts w:ascii="Times New Roman" w:hAnsi="Times New Roman" w:eastAsia="仿宋_GB2312"/>
          <w:sz w:val="30"/>
          <w:szCs w:val="30"/>
        </w:rPr>
      </w:pPr>
      <w:r>
        <w:rPr>
          <w:rFonts w:ascii="Times New Roman" w:hAnsi="黑体" w:eastAsia="黑体"/>
          <w:sz w:val="30"/>
          <w:szCs w:val="30"/>
        </w:rPr>
        <w:t>十</w:t>
      </w:r>
      <w:r>
        <w:rPr>
          <w:rFonts w:hint="eastAsia" w:ascii="Times New Roman" w:hAnsi="黑体" w:eastAsia="黑体"/>
          <w:sz w:val="30"/>
          <w:szCs w:val="30"/>
        </w:rPr>
        <w:t>九</w:t>
      </w:r>
      <w:r>
        <w:rPr>
          <w:rFonts w:ascii="Times New Roman" w:hAnsi="黑体" w:eastAsia="黑体"/>
          <w:sz w:val="30"/>
          <w:szCs w:val="30"/>
        </w:rPr>
        <w:t>、</w:t>
      </w:r>
      <w:r>
        <w:rPr>
          <w:rFonts w:hint="eastAsia" w:ascii="Times New Roman" w:hAnsi="黑体" w:eastAsia="黑体"/>
          <w:sz w:val="30"/>
          <w:szCs w:val="30"/>
        </w:rPr>
        <w:t>加强未成年人民事、行政权益司法保护问题研究</w:t>
      </w:r>
    </w:p>
    <w:p>
      <w:pPr>
        <w:spacing w:line="60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研究重点：</w:t>
      </w:r>
      <w:r>
        <w:rPr>
          <w:rFonts w:hint="eastAsia" w:ascii="Times New Roman" w:hAnsi="Times New Roman" w:eastAsia="仿宋_GB2312"/>
          <w:sz w:val="30"/>
          <w:szCs w:val="30"/>
        </w:rPr>
        <w:t>未成年人民事、行政权益基础理论研究；我国未成年人民事、行政权益保护的现行法律规定和司法保护制度；国际公约、代表性国家和地区关于未成年人民事、行政权益保护的主要法律规定和司法保护制度；我国新的未成年人保护原则、理念在民事、行政审判领域的贯彻落实；强化未成年人民事、行政权益司法保护，从源头上保护未成年人健康成长、预防未成年人违法犯罪的方法路径等。</w:t>
      </w:r>
    </w:p>
    <w:p>
      <w:pPr>
        <w:spacing w:line="600" w:lineRule="exact"/>
        <w:ind w:firstLine="600" w:firstLineChars="200"/>
        <w:rPr>
          <w:rFonts w:ascii="Times New Roman" w:hAnsi="Times New Roman" w:eastAsia="黑体"/>
          <w:sz w:val="30"/>
          <w:szCs w:val="30"/>
        </w:rPr>
      </w:pPr>
      <w:r>
        <w:rPr>
          <w:rFonts w:hint="eastAsia" w:ascii="Times New Roman" w:hAnsi="黑体" w:eastAsia="黑体"/>
          <w:sz w:val="30"/>
          <w:szCs w:val="30"/>
        </w:rPr>
        <w:t>二十</w:t>
      </w:r>
      <w:r>
        <w:rPr>
          <w:rFonts w:ascii="Times New Roman" w:hAnsi="黑体" w:eastAsia="黑体"/>
          <w:sz w:val="30"/>
          <w:szCs w:val="30"/>
        </w:rPr>
        <w:t>、</w:t>
      </w:r>
      <w:r>
        <w:rPr>
          <w:rFonts w:hint="eastAsia" w:ascii="Times New Roman" w:hAnsi="黑体" w:eastAsia="黑体"/>
          <w:sz w:val="30"/>
          <w:szCs w:val="30"/>
        </w:rPr>
        <w:t>执行案件前端化解机制研究</w:t>
      </w:r>
    </w:p>
    <w:p>
      <w:pPr>
        <w:widowControl/>
        <w:suppressAutoHyphens w:val="0"/>
      </w:pPr>
      <w:r>
        <w:rPr>
          <w:rFonts w:hint="eastAsia" w:ascii="Times New Roman" w:hAnsi="Times New Roman" w:eastAsia="仿宋_GB2312"/>
          <w:sz w:val="30"/>
          <w:szCs w:val="30"/>
        </w:rPr>
        <w:t xml:space="preserve">    </w:t>
      </w:r>
      <w:r>
        <w:rPr>
          <w:rFonts w:ascii="Times New Roman" w:hAnsi="Times New Roman" w:eastAsia="仿宋_GB2312"/>
          <w:sz w:val="30"/>
          <w:szCs w:val="30"/>
        </w:rPr>
        <w:t>研究重点：</w:t>
      </w:r>
      <w:r>
        <w:rPr>
          <w:rFonts w:hint="eastAsia" w:ascii="Times New Roman" w:hAnsi="Times New Roman" w:eastAsia="仿宋_GB2312"/>
          <w:sz w:val="30"/>
          <w:szCs w:val="30"/>
        </w:rPr>
        <w:t>立审执协调配合解决执行难问题情况；立案和审判环节影响后续执行工作的主要问题；调解书自动履行情况；风险提示和告知、财产保全、督促履行、执转破、司法建议等工作开展情况；拒执罪、失信联合惩戒等强制执行措施适用情况；执行机构和执行队伍建设情况；推进解决执行难问题考核机制情况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TY0M2Y2M2Q1OTYxNzAxYjhlOWNkYWJjZWJjMmEifQ=="/>
  </w:docVars>
  <w:rsids>
    <w:rsidRoot w:val="00000000"/>
    <w:rsid w:val="042D204E"/>
    <w:rsid w:val="28493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2777</Words>
  <Characters>2780</Characters>
  <Lines>0</Lines>
  <Paragraphs>0</Paragraphs>
  <TotalTime>0</TotalTime>
  <ScaleCrop>false</ScaleCrop>
  <LinksUpToDate>false</LinksUpToDate>
  <CharactersWithSpaces>2808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2023-05-20T10:32:00Z</dcterms:created>
  <dc:creator>ZXW</dc:creator>
  <cp:lastModifiedBy>ZXW</cp:lastModifiedBy>
  <dcterms:modified xsi:type="dcterms:W3CDTF">2023-05-20T10:37:15Z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C18F0190C79848CCB7222B51CAF84B68_12</vt:lpwstr>
  </property>
</Properties>
</file>