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sz w:val="18"/>
          <w:szCs w:val="18"/>
        </w:rPr>
      </w:pPr>
      <w:bookmarkStart w:id="0" w:name="_GoBack"/>
      <w:r>
        <w:rPr>
          <w:color w:val="333333"/>
          <w:sz w:val="30"/>
          <w:szCs w:val="30"/>
          <w:bdr w:val="none" w:color="auto" w:sz="0" w:space="0"/>
        </w:rPr>
        <w:t>关于2024年夏季学期教学安排通知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" w:hAnsi="仿宋" w:eastAsia="仿宋" w:cs="仿宋"/>
          <w:sz w:val="27"/>
          <w:szCs w:val="27"/>
          <w:bdr w:val="none" w:color="auto" w:sz="0" w:space="0"/>
        </w:rPr>
        <w:t>各二级学院：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根据本科教学计划安排，加强夏季学期实践教学的规范管理，结合学校和二级学院实践教学资源实际情况，对2024年夏季学期学生社会实践教学工作做如下安排：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Style w:val="8"/>
          <w:rFonts w:hint="eastAsia" w:ascii="仿宋" w:hAnsi="仿宋" w:eastAsia="仿宋" w:cs="仿宋"/>
          <w:sz w:val="27"/>
          <w:szCs w:val="27"/>
          <w:bdr w:val="none" w:color="auto" w:sz="0" w:space="0"/>
        </w:rPr>
        <w:t>一、实习时间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夏季学期：2024年6月19日-7月14日（4周）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Style w:val="8"/>
          <w:rFonts w:hint="eastAsia" w:ascii="仿宋" w:hAnsi="仿宋" w:eastAsia="仿宋" w:cs="仿宋"/>
          <w:sz w:val="27"/>
          <w:szCs w:val="27"/>
          <w:bdr w:val="none" w:color="auto" w:sz="0" w:space="0"/>
        </w:rPr>
        <w:t>二、具体安排及要求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各学院参照2023级新修订人才培养方案中实践教学环节计划进程表进行具体安排2024年夏季学期社会实践（附 附件1：2023级本科指导性实践教学环节计划进程汇总）。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各年级实践学分及实践周数如下：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2477"/>
        <w:gridCol w:w="1780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实践年级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实践环节名称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实践学分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实践周数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2021级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实习实训3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2022级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专业实习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2023级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认识实习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2023级专升本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专业实习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结合教育部办公厅关于做好“全国大学生实习公共服务平台”数据报送工作的通知（教高厅函〔2023〕1号）的文件要求及2023级新修订人才培养方案中实践环节的要求，建议各学院在安排课程时采用分年级安排，以便后续工作的顺利开展。实务课程建议以中小班授课为主，实习课程按照规定1:30比例进行开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为确保我校本科一、二、三年级的所有学生（含专升本）都能顺利参加，各二级学院要统一安排好教学计划及教学进度、课程考核以及成绩登录各环节工作，由各学院安排好相应的开课信息及学生信息提交教务处实践科，统一导入信息系统。 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Style w:val="8"/>
          <w:rFonts w:hint="eastAsia" w:ascii="仿宋" w:hAnsi="仿宋" w:eastAsia="仿宋" w:cs="仿宋"/>
          <w:sz w:val="27"/>
          <w:szCs w:val="27"/>
          <w:bdr w:val="none" w:color="auto" w:sz="0" w:space="0"/>
        </w:rPr>
        <w:t>三、学生学习证明材料要求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凡参加实务课程学习，以随堂考试成绩为依据，由各任课教师进行具体考核。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凡参加线下实习，学生需提交实习日志（电子版）与实习总结（纸质版）由学院留存。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Style w:val="8"/>
          <w:rFonts w:hint="eastAsia" w:ascii="仿宋" w:hAnsi="仿宋" w:eastAsia="仿宋" w:cs="仿宋"/>
          <w:sz w:val="27"/>
          <w:szCs w:val="27"/>
          <w:bdr w:val="none" w:color="auto" w:sz="0" w:space="0"/>
        </w:rPr>
        <w:t>四、各学院及带队教师工作要求 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各学院要高度重视，由各二级学院院长全面负责、副院长具体负责此次夏季学期实践教学工作，确保每一名学生都能正常参加实践教学活动，并取得相应实习学分。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各二级学院根据本通知尽快制定相关方案，做好夏季短学期实践教学准备工作。请各二级学院将本学院的夏季短学期本科生课程安排（附件2）于4月19日前报教务处，5月17日前将各课程学生名单（附件3）报送至教务处进行统一导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instrText xml:space="preserve"> HYPERLINK "https://www.shupl.edu.cn/_upload/article/files/18/32/7fc073164f70a725188c2c96470c/3dc35f65-a6e0-42b9-88d5-f4ed6749a362.xls" </w:instrText>
      </w:r>
      <w:r>
        <w:rPr>
          <w:rFonts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9"/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t>附件1：2023级本科指导性实践教学环节计划进程汇总.xls</w:t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instrText xml:space="preserve"> HYPERLINK "https://www.shupl.edu.cn/_upload/article/files/18/32/7fc073164f70a725188c2c96470c/e1e7c757-0cae-4b9c-9290-3356e94dd48f.xls" </w:instrText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9"/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t>附件2：2024年夏季学期学期课程汇总表.xls</w:t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instrText xml:space="preserve"> HYPERLINK "https://www.shupl.edu.cn/_upload/article/files/18/32/7fc073164f70a725188c2c96470c/066f2e78-4a1e-46e4-9052-9f4064737d45.xls" </w:instrText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9"/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t>附件3：正选学生名单.xls</w:t>
      </w:r>
      <w:r>
        <w:rPr>
          <w:rFonts w:hint="default" w:ascii="Arial" w:hAnsi="Arial" w:eastAsia="仿宋" w:cs="Arial"/>
          <w:color w:val="00000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教务处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2024年4月2日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DJlY2M3NTc0YjhiMGIzNDcwZmI1YWExZWM0NjQifQ=="/>
  </w:docVars>
  <w:rsids>
    <w:rsidRoot w:val="00000000"/>
    <w:rsid w:val="102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2024-05-08T06:34:45Z</dcterms:created>
  <dc:creator>shupl</dc:creator>
  <cp:lastModifiedBy>常峰峰</cp:lastModifiedBy>
  <dcterms:modified xsi:type="dcterms:W3CDTF">2024-05-08T06:36:48Z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857B10A53C05445589FB4D4205E9D704_12</vt:lpwstr>
  </property>
</Properties>
</file>