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DF" w:rsidRPr="00801312" w:rsidRDefault="004458DF" w:rsidP="004458DF">
      <w:pPr>
        <w:spacing w:line="560" w:lineRule="exact"/>
        <w:rPr>
          <w:rFonts w:ascii="黑体" w:eastAsia="黑体" w:hint="eastAsia"/>
          <w:snapToGrid w:val="0"/>
          <w:spacing w:val="0"/>
          <w:kern w:val="0"/>
          <w:szCs w:val="32"/>
        </w:rPr>
      </w:pPr>
      <w:r>
        <w:rPr>
          <w:rFonts w:ascii="黑体" w:eastAsia="黑体" w:hint="eastAsia"/>
          <w:snapToGrid w:val="0"/>
          <w:spacing w:val="0"/>
          <w:kern w:val="0"/>
          <w:szCs w:val="32"/>
        </w:rPr>
        <w:t>附件</w:t>
      </w:r>
    </w:p>
    <w:p w:rsidR="004458DF" w:rsidRPr="00A40086" w:rsidRDefault="004458DF" w:rsidP="004458DF">
      <w:pPr>
        <w:spacing w:line="560" w:lineRule="exact"/>
        <w:jc w:val="center"/>
        <w:rPr>
          <w:rFonts w:ascii="方正小标宋简体" w:eastAsia="方正小标宋简体" w:hint="eastAsia"/>
          <w:snapToGrid w:val="0"/>
          <w:spacing w:val="0"/>
          <w:kern w:val="32"/>
          <w:sz w:val="44"/>
          <w:szCs w:val="44"/>
        </w:rPr>
      </w:pPr>
      <w:r w:rsidRPr="00A40086">
        <w:rPr>
          <w:rFonts w:ascii="方正小标宋简体" w:eastAsia="方正小标宋简体" w:hint="eastAsia"/>
          <w:snapToGrid w:val="0"/>
          <w:spacing w:val="0"/>
          <w:kern w:val="32"/>
          <w:sz w:val="44"/>
          <w:szCs w:val="44"/>
        </w:rPr>
        <w:t>2017年度上海市民主法治建设</w:t>
      </w:r>
    </w:p>
    <w:p w:rsidR="004458DF" w:rsidRPr="00A40086" w:rsidRDefault="004458DF" w:rsidP="004458DF">
      <w:pPr>
        <w:spacing w:line="560" w:lineRule="exact"/>
        <w:jc w:val="center"/>
        <w:rPr>
          <w:rFonts w:ascii="方正小标宋简体" w:eastAsia="方正小标宋简体" w:hint="eastAsia"/>
          <w:snapToGrid w:val="0"/>
          <w:spacing w:val="0"/>
          <w:kern w:val="32"/>
          <w:sz w:val="44"/>
          <w:szCs w:val="44"/>
        </w:rPr>
      </w:pPr>
      <w:r w:rsidRPr="00A40086">
        <w:rPr>
          <w:rFonts w:ascii="方正小标宋简体" w:eastAsia="方正小标宋简体" w:hint="eastAsia"/>
          <w:snapToGrid w:val="0"/>
          <w:spacing w:val="0"/>
          <w:kern w:val="32"/>
          <w:sz w:val="44"/>
          <w:szCs w:val="44"/>
        </w:rPr>
        <w:t>课题研究指南</w:t>
      </w:r>
    </w:p>
    <w:p w:rsidR="004458DF" w:rsidRPr="00A03B63" w:rsidRDefault="004458DF" w:rsidP="004458DF">
      <w:pPr>
        <w:spacing w:line="560" w:lineRule="exact"/>
        <w:ind w:firstLineChars="200" w:firstLine="464"/>
        <w:rPr>
          <w:rFonts w:ascii="仿宋_GB2312" w:hint="eastAsia"/>
          <w:snapToGrid w:val="0"/>
          <w:spacing w:val="-4"/>
          <w:kern w:val="32"/>
          <w:sz w:val="24"/>
        </w:rPr>
      </w:pP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2017年度上海市民主法治建设课题研究是在迎接党的十九大和市十一次党代会召开的大背景下展开的，</w:t>
      </w:r>
      <w:r>
        <w:rPr>
          <w:rFonts w:ascii="仿宋_GB2312" w:hint="eastAsia"/>
          <w:snapToGrid w:val="0"/>
          <w:spacing w:val="-4"/>
          <w:szCs w:val="32"/>
        </w:rPr>
        <w:t>将</w:t>
      </w:r>
      <w:r w:rsidRPr="00261D54">
        <w:rPr>
          <w:rFonts w:ascii="仿宋_GB2312" w:hint="eastAsia"/>
          <w:snapToGrid w:val="0"/>
          <w:spacing w:val="-4"/>
          <w:szCs w:val="32"/>
        </w:rPr>
        <w:t>继续紧密围绕中央关于协调推进“四个全面”的战略总布局，党的十八大和十八届</w:t>
      </w:r>
      <w:r>
        <w:rPr>
          <w:rFonts w:ascii="仿宋_GB2312" w:hint="eastAsia"/>
          <w:snapToGrid w:val="0"/>
          <w:spacing w:val="-4"/>
          <w:szCs w:val="32"/>
        </w:rPr>
        <w:t>三中、四中、五中、六中全会关于依法治国和法治建设的精神，特别是</w:t>
      </w:r>
      <w:r w:rsidRPr="00261D54">
        <w:rPr>
          <w:rFonts w:ascii="仿宋_GB2312" w:hint="eastAsia"/>
          <w:snapToGrid w:val="0"/>
          <w:spacing w:val="-4"/>
          <w:szCs w:val="32"/>
        </w:rPr>
        <w:t>结合习近平总书记在2017年两会上对上海提出在深化自由贸易试验区改革、推进科技创新中心建设、推进社会治理创新、全面从严治党四个方面有</w:t>
      </w:r>
      <w:r>
        <w:rPr>
          <w:rFonts w:ascii="仿宋_GB2312" w:hint="eastAsia"/>
          <w:snapToGrid w:val="0"/>
          <w:spacing w:val="-4"/>
          <w:szCs w:val="32"/>
        </w:rPr>
        <w:t>“</w:t>
      </w:r>
      <w:r w:rsidRPr="00261D54">
        <w:rPr>
          <w:rFonts w:ascii="仿宋_GB2312" w:hint="eastAsia"/>
          <w:snapToGrid w:val="0"/>
          <w:spacing w:val="-4"/>
          <w:szCs w:val="32"/>
        </w:rPr>
        <w:t>新作为”的要求，以及《法治上海三年行动计划（2014</w:t>
      </w:r>
      <w:r>
        <w:rPr>
          <w:rFonts w:ascii="仿宋_GB2312" w:hint="eastAsia"/>
          <w:snapToGrid w:val="0"/>
          <w:spacing w:val="-4"/>
          <w:szCs w:val="32"/>
        </w:rPr>
        <w:t>—</w:t>
      </w:r>
      <w:r w:rsidRPr="00261D54">
        <w:rPr>
          <w:rFonts w:ascii="仿宋_GB2312" w:hint="eastAsia"/>
          <w:snapToGrid w:val="0"/>
          <w:spacing w:val="-4"/>
          <w:szCs w:val="32"/>
        </w:rPr>
        <w:t>2016）》实施情况评估结果，聚焦重点问题，着力补好短板，突出实践性、前瞻性和应用性，重点关注以下选题：</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w:t>
      </w:r>
      <w:r>
        <w:rPr>
          <w:rFonts w:ascii="仿宋_GB2312" w:hint="eastAsia"/>
          <w:snapToGrid w:val="0"/>
          <w:spacing w:val="-4"/>
          <w:szCs w:val="32"/>
        </w:rPr>
        <w:t>．</w:t>
      </w:r>
      <w:r w:rsidRPr="00261D54">
        <w:rPr>
          <w:rFonts w:ascii="仿宋_GB2312" w:hint="eastAsia"/>
          <w:snapToGrid w:val="0"/>
          <w:spacing w:val="-4"/>
          <w:szCs w:val="32"/>
        </w:rPr>
        <w:t>推</w:t>
      </w:r>
      <w:r>
        <w:rPr>
          <w:rFonts w:ascii="仿宋_GB2312" w:hint="eastAsia"/>
          <w:snapToGrid w:val="0"/>
          <w:spacing w:val="-4"/>
          <w:szCs w:val="32"/>
        </w:rPr>
        <w:t>动实施《</w:t>
      </w:r>
      <w:r w:rsidRPr="00261D54">
        <w:rPr>
          <w:rFonts w:ascii="仿宋_GB2312" w:hint="eastAsia"/>
          <w:snapToGrid w:val="0"/>
          <w:spacing w:val="-4"/>
          <w:szCs w:val="32"/>
        </w:rPr>
        <w:t>党政主要负责人履行推进法治建设第一责任人职责</w:t>
      </w:r>
      <w:r>
        <w:rPr>
          <w:rFonts w:ascii="仿宋_GB2312" w:hint="eastAsia"/>
          <w:snapToGrid w:val="0"/>
          <w:spacing w:val="-4"/>
          <w:szCs w:val="32"/>
        </w:rPr>
        <w:t>规定》，以及</w:t>
      </w:r>
      <w:r w:rsidRPr="00261D54">
        <w:rPr>
          <w:rFonts w:ascii="仿宋_GB2312" w:hint="eastAsia"/>
          <w:snapToGrid w:val="0"/>
          <w:spacing w:val="-4"/>
          <w:szCs w:val="32"/>
        </w:rPr>
        <w:t>把法治建设成效纳入政绩考核指标体系机制</w:t>
      </w:r>
      <w:r>
        <w:rPr>
          <w:rFonts w:ascii="仿宋_GB2312" w:hint="eastAsia"/>
          <w:snapToGrid w:val="0"/>
          <w:spacing w:val="-4"/>
          <w:szCs w:val="32"/>
        </w:rPr>
        <w:t>、</w:t>
      </w:r>
      <w:r w:rsidRPr="00261D54">
        <w:rPr>
          <w:rFonts w:ascii="仿宋_GB2312" w:hint="eastAsia"/>
          <w:snapToGrid w:val="0"/>
          <w:spacing w:val="-4"/>
          <w:szCs w:val="32"/>
        </w:rPr>
        <w:t>路径、方法研究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2</w:t>
      </w:r>
      <w:r>
        <w:rPr>
          <w:rFonts w:ascii="仿宋_GB2312" w:hint="eastAsia"/>
          <w:snapToGrid w:val="0"/>
          <w:spacing w:val="-4"/>
          <w:szCs w:val="32"/>
        </w:rPr>
        <w:t>．</w:t>
      </w:r>
      <w:r w:rsidRPr="00261D54">
        <w:rPr>
          <w:rFonts w:ascii="仿宋_GB2312" w:hint="eastAsia"/>
          <w:snapToGrid w:val="0"/>
          <w:spacing w:val="-4"/>
          <w:szCs w:val="32"/>
        </w:rPr>
        <w:t>进一步完善把社会主义核心价值观融入法治建设实践研究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3</w:t>
      </w:r>
      <w:r>
        <w:rPr>
          <w:rFonts w:ascii="仿宋_GB2312" w:hint="eastAsia"/>
          <w:snapToGrid w:val="0"/>
          <w:spacing w:val="-4"/>
          <w:szCs w:val="32"/>
        </w:rPr>
        <w:t>．</w:t>
      </w:r>
      <w:r w:rsidRPr="00261D54">
        <w:rPr>
          <w:rFonts w:ascii="仿宋_GB2312" w:hint="eastAsia"/>
          <w:snapToGrid w:val="0"/>
          <w:spacing w:val="-4"/>
          <w:szCs w:val="32"/>
        </w:rPr>
        <w:t>为推进上海自贸区建设、</w:t>
      </w:r>
      <w:proofErr w:type="gramStart"/>
      <w:r w:rsidRPr="00261D54">
        <w:rPr>
          <w:rFonts w:ascii="仿宋_GB2312" w:hint="eastAsia"/>
          <w:snapToGrid w:val="0"/>
          <w:spacing w:val="-4"/>
          <w:szCs w:val="32"/>
        </w:rPr>
        <w:t>科创中心</w:t>
      </w:r>
      <w:proofErr w:type="gramEnd"/>
      <w:r w:rsidRPr="00261D54">
        <w:rPr>
          <w:rFonts w:ascii="仿宋_GB2312" w:hint="eastAsia"/>
          <w:snapToGrid w:val="0"/>
          <w:spacing w:val="-4"/>
          <w:szCs w:val="32"/>
        </w:rPr>
        <w:t>建设提供法治保障，提高上海城市竞争</w:t>
      </w:r>
      <w:proofErr w:type="gramStart"/>
      <w:r w:rsidRPr="00261D54">
        <w:rPr>
          <w:rFonts w:ascii="仿宋_GB2312" w:hint="eastAsia"/>
          <w:snapToGrid w:val="0"/>
          <w:spacing w:val="-4"/>
          <w:szCs w:val="32"/>
        </w:rPr>
        <w:t>软实力</w:t>
      </w:r>
      <w:proofErr w:type="gramEnd"/>
      <w:r w:rsidRPr="00261D54">
        <w:rPr>
          <w:rFonts w:ascii="仿宋_GB2312" w:hint="eastAsia"/>
          <w:snapToGrid w:val="0"/>
          <w:spacing w:val="-4"/>
          <w:szCs w:val="32"/>
        </w:rPr>
        <w:t>相关制度措施研究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4</w:t>
      </w:r>
      <w:r>
        <w:rPr>
          <w:rFonts w:ascii="仿宋_GB2312" w:hint="eastAsia"/>
          <w:snapToGrid w:val="0"/>
          <w:spacing w:val="-4"/>
          <w:szCs w:val="32"/>
        </w:rPr>
        <w:t>．</w:t>
      </w:r>
      <w:r w:rsidRPr="00261D54">
        <w:rPr>
          <w:rFonts w:ascii="仿宋_GB2312" w:hint="eastAsia"/>
          <w:snapToGrid w:val="0"/>
          <w:spacing w:val="-4"/>
          <w:szCs w:val="32"/>
        </w:rPr>
        <w:t>进一步加强地方立法和人大监督相关问题研究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5</w:t>
      </w:r>
      <w:r>
        <w:rPr>
          <w:rFonts w:ascii="仿宋_GB2312" w:hint="eastAsia"/>
          <w:snapToGrid w:val="0"/>
          <w:spacing w:val="-4"/>
          <w:szCs w:val="32"/>
        </w:rPr>
        <w:t>．</w:t>
      </w:r>
      <w:r w:rsidRPr="00261D54">
        <w:rPr>
          <w:rFonts w:ascii="仿宋_GB2312" w:hint="eastAsia"/>
          <w:snapToGrid w:val="0"/>
          <w:spacing w:val="-4"/>
          <w:szCs w:val="32"/>
        </w:rPr>
        <w:t>深化行政审批制度改革和推进政府信息公开</w:t>
      </w:r>
      <w:r>
        <w:rPr>
          <w:rFonts w:ascii="仿宋_GB2312" w:hint="eastAsia"/>
          <w:snapToGrid w:val="0"/>
          <w:spacing w:val="-4"/>
          <w:szCs w:val="32"/>
        </w:rPr>
        <w:t>相关问题</w:t>
      </w:r>
      <w:r w:rsidRPr="00261D54">
        <w:rPr>
          <w:rFonts w:ascii="仿宋_GB2312" w:hint="eastAsia"/>
          <w:snapToGrid w:val="0"/>
          <w:spacing w:val="-4"/>
          <w:szCs w:val="32"/>
        </w:rPr>
        <w:t>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lastRenderedPageBreak/>
        <w:t>6</w:t>
      </w:r>
      <w:r>
        <w:rPr>
          <w:rFonts w:ascii="仿宋_GB2312" w:hint="eastAsia"/>
          <w:snapToGrid w:val="0"/>
          <w:spacing w:val="-4"/>
          <w:szCs w:val="32"/>
        </w:rPr>
        <w:t>．</w:t>
      </w:r>
      <w:r w:rsidRPr="00261D54">
        <w:rPr>
          <w:rFonts w:ascii="仿宋_GB2312" w:hint="eastAsia"/>
          <w:snapToGrid w:val="0"/>
          <w:spacing w:val="-4"/>
          <w:szCs w:val="32"/>
        </w:rPr>
        <w:t>城市管理综合执法体制机制改革的各项措施研究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7</w:t>
      </w:r>
      <w:r>
        <w:rPr>
          <w:rFonts w:ascii="仿宋_GB2312" w:hint="eastAsia"/>
          <w:snapToGrid w:val="0"/>
          <w:spacing w:val="-4"/>
          <w:szCs w:val="32"/>
        </w:rPr>
        <w:t>．</w:t>
      </w:r>
      <w:r w:rsidRPr="00261D54">
        <w:rPr>
          <w:rFonts w:ascii="仿宋_GB2312" w:hint="eastAsia"/>
          <w:snapToGrid w:val="0"/>
          <w:spacing w:val="-4"/>
          <w:szCs w:val="32"/>
        </w:rPr>
        <w:t>完善权责统一、权威高效的行政执法体制、程序、方式相关问题研究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8</w:t>
      </w:r>
      <w:r>
        <w:rPr>
          <w:rFonts w:ascii="仿宋_GB2312" w:hint="eastAsia"/>
          <w:snapToGrid w:val="0"/>
          <w:spacing w:val="-4"/>
          <w:szCs w:val="32"/>
        </w:rPr>
        <w:t>．</w:t>
      </w:r>
      <w:r w:rsidRPr="00261D54">
        <w:rPr>
          <w:rFonts w:ascii="仿宋_GB2312" w:hint="eastAsia"/>
          <w:snapToGrid w:val="0"/>
          <w:spacing w:val="-4"/>
          <w:szCs w:val="32"/>
        </w:rPr>
        <w:t>进一步推进审判机关、检察机关依法独立公正行使审判权、检察权的制度措施研究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9</w:t>
      </w:r>
      <w:r>
        <w:rPr>
          <w:rFonts w:ascii="仿宋_GB2312" w:hint="eastAsia"/>
          <w:snapToGrid w:val="0"/>
          <w:spacing w:val="-4"/>
          <w:szCs w:val="32"/>
        </w:rPr>
        <w:t>．</w:t>
      </w:r>
      <w:r w:rsidRPr="00261D54">
        <w:rPr>
          <w:rFonts w:ascii="仿宋_GB2312" w:hint="eastAsia"/>
          <w:snapToGrid w:val="0"/>
          <w:spacing w:val="-4"/>
          <w:szCs w:val="32"/>
        </w:rPr>
        <w:t>构建阳光司法机制、推进司法公开问题研究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10</w:t>
      </w:r>
      <w:r>
        <w:rPr>
          <w:rFonts w:ascii="仿宋_GB2312" w:hint="eastAsia"/>
          <w:snapToGrid w:val="0"/>
          <w:spacing w:val="-4"/>
          <w:szCs w:val="32"/>
        </w:rPr>
        <w:t>．</w:t>
      </w:r>
      <w:r w:rsidRPr="00261D54">
        <w:rPr>
          <w:rFonts w:ascii="仿宋_GB2312" w:hint="eastAsia"/>
          <w:snapToGrid w:val="0"/>
          <w:spacing w:val="-4"/>
          <w:szCs w:val="32"/>
        </w:rPr>
        <w:t>进一步完善多元化纠纷解决</w:t>
      </w:r>
      <w:r>
        <w:rPr>
          <w:rFonts w:ascii="仿宋_GB2312" w:hint="eastAsia"/>
          <w:snapToGrid w:val="0"/>
          <w:spacing w:val="-4"/>
          <w:szCs w:val="32"/>
        </w:rPr>
        <w:t>机制</w:t>
      </w:r>
      <w:r w:rsidRPr="00261D54">
        <w:rPr>
          <w:rFonts w:ascii="仿宋_GB2312" w:hint="eastAsia"/>
          <w:snapToGrid w:val="0"/>
          <w:spacing w:val="-4"/>
          <w:szCs w:val="32"/>
        </w:rPr>
        <w:t>问题研究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11</w:t>
      </w:r>
      <w:r>
        <w:rPr>
          <w:rFonts w:ascii="仿宋_GB2312" w:hint="eastAsia"/>
          <w:snapToGrid w:val="0"/>
          <w:spacing w:val="-4"/>
          <w:szCs w:val="32"/>
        </w:rPr>
        <w:t>．</w:t>
      </w:r>
      <w:r w:rsidRPr="00261D54">
        <w:rPr>
          <w:rFonts w:ascii="仿宋_GB2312" w:hint="eastAsia"/>
          <w:snapToGrid w:val="0"/>
          <w:spacing w:val="-4"/>
          <w:szCs w:val="32"/>
        </w:rPr>
        <w:t>破解“执行难”问题相关研究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12</w:t>
      </w:r>
      <w:r>
        <w:rPr>
          <w:rFonts w:ascii="仿宋_GB2312" w:hint="eastAsia"/>
          <w:snapToGrid w:val="0"/>
          <w:spacing w:val="-4"/>
          <w:szCs w:val="32"/>
        </w:rPr>
        <w:t>．</w:t>
      </w:r>
      <w:r w:rsidRPr="00261D54">
        <w:rPr>
          <w:rFonts w:ascii="仿宋_GB2312" w:hint="eastAsia"/>
          <w:snapToGrid w:val="0"/>
          <w:spacing w:val="-4"/>
          <w:szCs w:val="32"/>
        </w:rPr>
        <w:t>强化检察机关法律监督的制度研究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13</w:t>
      </w:r>
      <w:r>
        <w:rPr>
          <w:rFonts w:ascii="仿宋_GB2312" w:hint="eastAsia"/>
          <w:snapToGrid w:val="0"/>
          <w:spacing w:val="-4"/>
          <w:szCs w:val="32"/>
        </w:rPr>
        <w:t>．</w:t>
      </w:r>
      <w:r w:rsidRPr="00261D54">
        <w:rPr>
          <w:rFonts w:ascii="仿宋_GB2312" w:hint="eastAsia"/>
          <w:snapToGrid w:val="0"/>
          <w:spacing w:val="-4"/>
          <w:szCs w:val="32"/>
        </w:rPr>
        <w:t>进一步健全基层党组织领导的充满活力的基层群众自治机制问题研究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14</w:t>
      </w:r>
      <w:r>
        <w:rPr>
          <w:rFonts w:ascii="仿宋_GB2312" w:hint="eastAsia"/>
          <w:snapToGrid w:val="0"/>
          <w:spacing w:val="-4"/>
          <w:szCs w:val="32"/>
        </w:rPr>
        <w:t>．</w:t>
      </w:r>
      <w:r w:rsidRPr="00261D54">
        <w:rPr>
          <w:rFonts w:ascii="仿宋_GB2312" w:hint="eastAsia"/>
          <w:snapToGrid w:val="0"/>
          <w:spacing w:val="-4"/>
          <w:szCs w:val="32"/>
        </w:rPr>
        <w:t>构建自下而上社区治理法治化机制相关研究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15</w:t>
      </w:r>
      <w:r>
        <w:rPr>
          <w:rFonts w:ascii="仿宋_GB2312" w:hint="eastAsia"/>
          <w:snapToGrid w:val="0"/>
          <w:spacing w:val="-4"/>
          <w:szCs w:val="32"/>
        </w:rPr>
        <w:t>．</w:t>
      </w:r>
      <w:r w:rsidRPr="00261D54">
        <w:rPr>
          <w:rFonts w:ascii="仿宋_GB2312" w:hint="eastAsia"/>
          <w:snapToGrid w:val="0"/>
          <w:spacing w:val="-4"/>
          <w:szCs w:val="32"/>
        </w:rPr>
        <w:t>政府治理与社会自我调节、居民自治关系及实现良性互动路</w:t>
      </w:r>
      <w:r>
        <w:rPr>
          <w:rFonts w:ascii="仿宋_GB2312" w:hint="eastAsia"/>
          <w:snapToGrid w:val="0"/>
          <w:spacing w:val="-4"/>
          <w:szCs w:val="32"/>
        </w:rPr>
        <w:t>径</w:t>
      </w:r>
      <w:r w:rsidRPr="00261D54">
        <w:rPr>
          <w:rFonts w:ascii="仿宋_GB2312" w:hint="eastAsia"/>
          <w:snapToGrid w:val="0"/>
          <w:spacing w:val="-4"/>
          <w:szCs w:val="32"/>
        </w:rPr>
        <w:t>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16</w:t>
      </w:r>
      <w:r>
        <w:rPr>
          <w:rFonts w:ascii="仿宋_GB2312" w:hint="eastAsia"/>
          <w:snapToGrid w:val="0"/>
          <w:spacing w:val="-4"/>
          <w:szCs w:val="32"/>
        </w:rPr>
        <w:t>．</w:t>
      </w:r>
      <w:r w:rsidRPr="00261D54">
        <w:rPr>
          <w:rFonts w:ascii="仿宋_GB2312" w:hint="eastAsia"/>
          <w:snapToGrid w:val="0"/>
          <w:spacing w:val="-4"/>
          <w:szCs w:val="32"/>
        </w:rPr>
        <w:t>城市住宅小区法制完善和治理（法治、德治、共治、自治）有效的相关研究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17</w:t>
      </w:r>
      <w:r>
        <w:rPr>
          <w:rFonts w:ascii="仿宋_GB2312" w:hint="eastAsia"/>
          <w:snapToGrid w:val="0"/>
          <w:spacing w:val="-4"/>
          <w:szCs w:val="32"/>
        </w:rPr>
        <w:t>．</w:t>
      </w:r>
      <w:r w:rsidRPr="00261D54">
        <w:rPr>
          <w:rFonts w:ascii="仿宋_GB2312" w:hint="eastAsia"/>
          <w:snapToGrid w:val="0"/>
          <w:spacing w:val="-4"/>
          <w:szCs w:val="32"/>
        </w:rPr>
        <w:t>支持和促进社会组织发展及加强重点行业领域依法治理相关问题研究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18</w:t>
      </w:r>
      <w:r>
        <w:rPr>
          <w:rFonts w:ascii="仿宋_GB2312" w:hint="eastAsia"/>
          <w:snapToGrid w:val="0"/>
          <w:spacing w:val="-4"/>
          <w:szCs w:val="32"/>
        </w:rPr>
        <w:t>．</w:t>
      </w:r>
      <w:r w:rsidRPr="00261D54">
        <w:rPr>
          <w:rFonts w:ascii="仿宋_GB2312" w:hint="eastAsia"/>
          <w:snapToGrid w:val="0"/>
          <w:spacing w:val="-4"/>
          <w:szCs w:val="32"/>
        </w:rPr>
        <w:t>创新群众工作方法解决信访突出问题的机制路径研究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19</w:t>
      </w:r>
      <w:r>
        <w:rPr>
          <w:rFonts w:ascii="仿宋_GB2312" w:hint="eastAsia"/>
          <w:snapToGrid w:val="0"/>
          <w:spacing w:val="-4"/>
          <w:szCs w:val="32"/>
        </w:rPr>
        <w:t>．</w:t>
      </w:r>
      <w:r w:rsidRPr="00261D54">
        <w:rPr>
          <w:rFonts w:ascii="仿宋_GB2312" w:hint="eastAsia"/>
          <w:snapToGrid w:val="0"/>
          <w:spacing w:val="-4"/>
          <w:szCs w:val="32"/>
        </w:rPr>
        <w:t>健全城市生产安全和</w:t>
      </w:r>
      <w:r w:rsidRPr="00F007D7">
        <w:rPr>
          <w:rFonts w:ascii="仿宋_GB2312" w:hint="eastAsia"/>
          <w:snapToGrid w:val="0"/>
          <w:color w:val="auto"/>
          <w:spacing w:val="-4"/>
          <w:szCs w:val="32"/>
        </w:rPr>
        <w:t>运行安全的管理</w:t>
      </w:r>
      <w:r w:rsidRPr="00261D54">
        <w:rPr>
          <w:rFonts w:ascii="仿宋_GB2312" w:hint="eastAsia"/>
          <w:snapToGrid w:val="0"/>
          <w:spacing w:val="-4"/>
          <w:szCs w:val="32"/>
        </w:rPr>
        <w:t>体制机制研究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20</w:t>
      </w:r>
      <w:r>
        <w:rPr>
          <w:rFonts w:ascii="仿宋_GB2312" w:hint="eastAsia"/>
          <w:snapToGrid w:val="0"/>
          <w:spacing w:val="-4"/>
          <w:szCs w:val="32"/>
        </w:rPr>
        <w:t>．</w:t>
      </w:r>
      <w:r w:rsidRPr="00261D54">
        <w:rPr>
          <w:rFonts w:ascii="仿宋_GB2312" w:hint="eastAsia"/>
          <w:snapToGrid w:val="0"/>
          <w:spacing w:val="-4"/>
          <w:szCs w:val="32"/>
        </w:rPr>
        <w:t>促进法律服务业升级发展、打造法律人才高地、更好发挥律师作用的制度路径研究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21</w:t>
      </w:r>
      <w:r>
        <w:rPr>
          <w:rFonts w:ascii="仿宋_GB2312" w:hint="eastAsia"/>
          <w:snapToGrid w:val="0"/>
          <w:spacing w:val="-4"/>
          <w:szCs w:val="32"/>
        </w:rPr>
        <w:t>．</w:t>
      </w:r>
      <w:r w:rsidRPr="00261D54">
        <w:rPr>
          <w:rFonts w:ascii="仿宋_GB2312" w:hint="eastAsia"/>
          <w:snapToGrid w:val="0"/>
          <w:spacing w:val="-4"/>
          <w:szCs w:val="32"/>
        </w:rPr>
        <w:t>进一步完善国家工作人员特别是领导干部学法用法相关问题研究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lastRenderedPageBreak/>
        <w:t>22</w:t>
      </w:r>
      <w:r>
        <w:rPr>
          <w:rFonts w:ascii="仿宋_GB2312" w:hint="eastAsia"/>
          <w:snapToGrid w:val="0"/>
          <w:spacing w:val="-4"/>
          <w:szCs w:val="32"/>
        </w:rPr>
        <w:t>．</w:t>
      </w:r>
      <w:r w:rsidRPr="00261D54">
        <w:rPr>
          <w:rFonts w:ascii="仿宋_GB2312" w:hint="eastAsia"/>
          <w:snapToGrid w:val="0"/>
          <w:spacing w:val="-4"/>
          <w:szCs w:val="32"/>
        </w:rPr>
        <w:t>创新法治宣传教育社会化、公共化、新媒体化的机制性、操作性、实效性研究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23</w:t>
      </w:r>
      <w:r>
        <w:rPr>
          <w:rFonts w:ascii="仿宋_GB2312" w:hint="eastAsia"/>
          <w:snapToGrid w:val="0"/>
          <w:spacing w:val="-4"/>
          <w:szCs w:val="32"/>
        </w:rPr>
        <w:t>．</w:t>
      </w:r>
      <w:r w:rsidRPr="00261D54">
        <w:rPr>
          <w:rFonts w:ascii="仿宋_GB2312" w:hint="eastAsia"/>
          <w:snapToGrid w:val="0"/>
          <w:spacing w:val="-4"/>
          <w:szCs w:val="32"/>
        </w:rPr>
        <w:t>进一步完善法治城区、依法行政示范项目、基层</w:t>
      </w:r>
      <w:r>
        <w:rPr>
          <w:rFonts w:ascii="仿宋_GB2312" w:hint="eastAsia"/>
          <w:snapToGrid w:val="0"/>
          <w:spacing w:val="-4"/>
          <w:szCs w:val="32"/>
        </w:rPr>
        <w:t>民主</w:t>
      </w:r>
      <w:r w:rsidRPr="00261D54">
        <w:rPr>
          <w:rFonts w:ascii="仿宋_GB2312" w:hint="eastAsia"/>
          <w:snapToGrid w:val="0"/>
          <w:spacing w:val="-4"/>
          <w:szCs w:val="32"/>
        </w:rPr>
        <w:t>法治</w:t>
      </w:r>
      <w:r>
        <w:rPr>
          <w:rFonts w:ascii="仿宋_GB2312" w:hint="eastAsia"/>
          <w:snapToGrid w:val="0"/>
          <w:spacing w:val="-4"/>
          <w:szCs w:val="32"/>
        </w:rPr>
        <w:t>等</w:t>
      </w:r>
      <w:r w:rsidRPr="00261D54">
        <w:rPr>
          <w:rFonts w:ascii="仿宋_GB2312" w:hint="eastAsia"/>
          <w:snapToGrid w:val="0"/>
          <w:spacing w:val="-4"/>
          <w:szCs w:val="32"/>
        </w:rPr>
        <w:t>三项创建活动的工作措施研究</w:t>
      </w:r>
    </w:p>
    <w:p w:rsidR="004458DF" w:rsidRPr="00261D54" w:rsidRDefault="004458DF" w:rsidP="004458DF">
      <w:pPr>
        <w:spacing w:line="560" w:lineRule="exact"/>
        <w:ind w:firstLineChars="200" w:firstLine="624"/>
        <w:rPr>
          <w:rFonts w:ascii="仿宋_GB2312" w:hint="eastAsia"/>
          <w:snapToGrid w:val="0"/>
          <w:spacing w:val="-4"/>
          <w:szCs w:val="32"/>
        </w:rPr>
      </w:pPr>
      <w:r w:rsidRPr="00261D54">
        <w:rPr>
          <w:rFonts w:ascii="仿宋_GB2312" w:hint="eastAsia"/>
          <w:snapToGrid w:val="0"/>
          <w:spacing w:val="-4"/>
          <w:szCs w:val="32"/>
        </w:rPr>
        <w:t>24</w:t>
      </w:r>
      <w:r>
        <w:rPr>
          <w:rFonts w:ascii="仿宋_GB2312" w:hint="eastAsia"/>
          <w:snapToGrid w:val="0"/>
          <w:spacing w:val="-4"/>
          <w:szCs w:val="32"/>
        </w:rPr>
        <w:t>．</w:t>
      </w:r>
      <w:r w:rsidRPr="00261D54">
        <w:rPr>
          <w:rFonts w:ascii="仿宋_GB2312" w:hint="eastAsia"/>
          <w:snapToGrid w:val="0"/>
          <w:spacing w:val="-4"/>
          <w:szCs w:val="32"/>
        </w:rPr>
        <w:t>崇明国家级生态岛和上海生态文明建设的地方立法、行政执法、司法和治理的实践研究</w:t>
      </w:r>
    </w:p>
    <w:p w:rsidR="004458DF" w:rsidRDefault="004458DF" w:rsidP="004458DF">
      <w:pPr>
        <w:spacing w:line="560" w:lineRule="exact"/>
        <w:ind w:firstLineChars="200" w:firstLine="624"/>
        <w:rPr>
          <w:rFonts w:ascii="仿宋_GB2312"/>
          <w:snapToGrid w:val="0"/>
          <w:spacing w:val="-4"/>
          <w:szCs w:val="32"/>
        </w:rPr>
      </w:pPr>
      <w:r>
        <w:rPr>
          <w:rFonts w:ascii="仿宋_GB2312" w:hint="eastAsia"/>
          <w:snapToGrid w:val="0"/>
          <w:spacing w:val="-4"/>
          <w:szCs w:val="32"/>
        </w:rPr>
        <w:t>民主法治建设内涵丰富</w:t>
      </w:r>
      <w:r w:rsidRPr="00261D54">
        <w:rPr>
          <w:rFonts w:ascii="仿宋_GB2312" w:hint="eastAsia"/>
          <w:snapToGrid w:val="0"/>
          <w:spacing w:val="-4"/>
          <w:szCs w:val="32"/>
        </w:rPr>
        <w:t>，涉及依法执政、科学立法、依法行政、公正司法、法治社会、队伍建设等方方面面。以上列举的选题供课题成果申报者参考，具体调研题目由申报者自定自拟。对于结合自身工作实践，聚焦公共决策法治化、基层治理法治化和法治建设制度化推进，并且能够提供具有指导性和参考性的经验数据和对策建议的课题成果，市依法治市办将重点关注。</w:t>
      </w:r>
    </w:p>
    <w:p w:rsidR="004458DF" w:rsidRDefault="004458DF" w:rsidP="004458DF">
      <w:pPr>
        <w:spacing w:line="560" w:lineRule="exact"/>
        <w:rPr>
          <w:rFonts w:ascii="黑体" w:eastAsia="黑体" w:hint="eastAsia"/>
          <w:snapToGrid w:val="0"/>
          <w:spacing w:val="0"/>
          <w:kern w:val="0"/>
          <w:szCs w:val="32"/>
        </w:rPr>
      </w:pPr>
      <w:r>
        <w:rPr>
          <w:rFonts w:ascii="仿宋_GB2312"/>
          <w:snapToGrid w:val="0"/>
          <w:spacing w:val="-4"/>
          <w:szCs w:val="32"/>
        </w:rPr>
        <w:br w:type="page"/>
      </w:r>
    </w:p>
    <w:p w:rsidR="004458DF" w:rsidRPr="00801312" w:rsidRDefault="004458DF" w:rsidP="004458DF">
      <w:pPr>
        <w:spacing w:line="560" w:lineRule="exact"/>
        <w:rPr>
          <w:rFonts w:ascii="黑体" w:eastAsia="黑体" w:hint="eastAsia"/>
          <w:snapToGrid w:val="0"/>
          <w:spacing w:val="0"/>
          <w:kern w:val="0"/>
          <w:szCs w:val="32"/>
        </w:rPr>
      </w:pPr>
    </w:p>
    <w:p w:rsidR="004458DF" w:rsidRDefault="004458DF" w:rsidP="004458DF">
      <w:pPr>
        <w:spacing w:line="560" w:lineRule="exact"/>
        <w:jc w:val="center"/>
        <w:rPr>
          <w:rFonts w:ascii="方正小标宋简体" w:eastAsia="方正小标宋简体" w:hAnsi="宋体" w:hint="eastAsia"/>
          <w:bCs/>
          <w:snapToGrid w:val="0"/>
          <w:spacing w:val="0"/>
          <w:kern w:val="0"/>
          <w:sz w:val="44"/>
          <w:szCs w:val="44"/>
        </w:rPr>
      </w:pPr>
      <w:r w:rsidRPr="0097174B">
        <w:rPr>
          <w:rFonts w:ascii="方正小标宋简体" w:eastAsia="方正小标宋简体" w:hAnsi="宋体" w:hint="eastAsia"/>
          <w:bCs/>
          <w:snapToGrid w:val="0"/>
          <w:spacing w:val="0"/>
          <w:kern w:val="0"/>
          <w:sz w:val="44"/>
          <w:szCs w:val="44"/>
        </w:rPr>
        <w:t>上海市民主法治建设课题研究格式规范</w:t>
      </w:r>
    </w:p>
    <w:p w:rsidR="004458DF" w:rsidRPr="0097174B" w:rsidRDefault="004458DF" w:rsidP="004458DF">
      <w:pPr>
        <w:spacing w:line="560" w:lineRule="exact"/>
        <w:rPr>
          <w:rFonts w:ascii="方正小标宋简体" w:eastAsia="方正小标宋简体" w:hAnsi="宋体" w:hint="eastAsia"/>
          <w:bCs/>
          <w:snapToGrid w:val="0"/>
          <w:spacing w:val="0"/>
          <w:kern w:val="0"/>
          <w:sz w:val="44"/>
          <w:szCs w:val="44"/>
        </w:rPr>
      </w:pP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为统一上海市民主法治建设课题研究格式，保证评审的公平效率，特制定本格式规范，请各位课题参加者遵照本规范进行撰写。</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一、课题成果字数（含图表、注释与标点）应控制在8000字以内。</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二、字体和行距</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标题：宋体、加粗、小二号字、居中（如有副标题：宋体、三号字、右对齐）；</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单位和作者：楷体、四号字、居中，多个作者之间空两个字隔开，（作者标明是课题组的，不再后缀作者姓名，具体课题组成员以首页地脚的形式介绍）；</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内容摘要：仿宋体、四号字、</w:t>
      </w:r>
      <w:smartTag w:uri="urn:schemas-microsoft-com:office:smarttags" w:element="chmetcnv">
        <w:smartTagPr>
          <w:attr w:name="UnitName" w:val="磅"/>
          <w:attr w:name="SourceValue" w:val="23"/>
          <w:attr w:name="HasSpace" w:val="False"/>
          <w:attr w:name="Negative" w:val="False"/>
          <w:attr w:name="NumberType" w:val="1"/>
          <w:attr w:name="TCSC" w:val="0"/>
        </w:smartTagPr>
        <w:r w:rsidRPr="00864990">
          <w:rPr>
            <w:rFonts w:ascii="仿宋_GB2312" w:hint="eastAsia"/>
            <w:snapToGrid w:val="0"/>
            <w:spacing w:val="-4"/>
            <w:kern w:val="32"/>
            <w:szCs w:val="32"/>
          </w:rPr>
          <w:t>23磅</w:t>
        </w:r>
      </w:smartTag>
      <w:r w:rsidRPr="00864990">
        <w:rPr>
          <w:rFonts w:ascii="仿宋_GB2312" w:hint="eastAsia"/>
          <w:snapToGrid w:val="0"/>
          <w:spacing w:val="-4"/>
          <w:kern w:val="32"/>
          <w:szCs w:val="32"/>
        </w:rPr>
        <w:t>行距，（500字以内）；</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正文：仿宋体、四号字、</w:t>
      </w:r>
      <w:smartTag w:uri="urn:schemas-microsoft-com:office:smarttags" w:element="chmetcnv">
        <w:smartTagPr>
          <w:attr w:name="UnitName" w:val="磅"/>
          <w:attr w:name="SourceValue" w:val="23"/>
          <w:attr w:name="HasSpace" w:val="False"/>
          <w:attr w:name="Negative" w:val="False"/>
          <w:attr w:name="NumberType" w:val="1"/>
          <w:attr w:name="TCSC" w:val="0"/>
        </w:smartTagPr>
        <w:r w:rsidRPr="00864990">
          <w:rPr>
            <w:rFonts w:ascii="仿宋_GB2312" w:hint="eastAsia"/>
            <w:snapToGrid w:val="0"/>
            <w:spacing w:val="-4"/>
            <w:kern w:val="32"/>
            <w:szCs w:val="32"/>
          </w:rPr>
          <w:t>23磅</w:t>
        </w:r>
      </w:smartTag>
      <w:r w:rsidRPr="00864990">
        <w:rPr>
          <w:rFonts w:ascii="仿宋_GB2312" w:hint="eastAsia"/>
          <w:snapToGrid w:val="0"/>
          <w:spacing w:val="-4"/>
          <w:kern w:val="32"/>
          <w:szCs w:val="32"/>
        </w:rPr>
        <w:t>行距；</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标题：一级标题：黑体、四号字；二级标题：楷体、四号字；三级标题：仿宋体，加粗、四号字；四级标题：楷体、四号字；</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页码：页面底端（页脚），居右。</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三、纸质版以A4纸打印，左侧装订。</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四、首页地脚附作者简介，包括姓名、单位及职务、职称等；作者为课题组的，标明负责人和参加者及各人简介。</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五、论文正文章节的标题序号为：一、（一）1.（1）①。</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lastRenderedPageBreak/>
        <w:t>六、注释采用脚注，脚注前序号为①②……，每页重新编号。</w:t>
      </w:r>
    </w:p>
    <w:p w:rsidR="004458DF" w:rsidRPr="00864990" w:rsidRDefault="004458DF" w:rsidP="004458DF">
      <w:pPr>
        <w:spacing w:line="560" w:lineRule="exact"/>
        <w:ind w:firstLineChars="200" w:firstLine="624"/>
        <w:rPr>
          <w:rFonts w:ascii="仿宋_GB2312" w:hint="eastAsia"/>
          <w:snapToGrid w:val="0"/>
          <w:spacing w:val="-4"/>
          <w:kern w:val="32"/>
          <w:szCs w:val="32"/>
        </w:rPr>
      </w:pPr>
      <w:r w:rsidRPr="00864990">
        <w:rPr>
          <w:rFonts w:ascii="仿宋_GB2312" w:hint="eastAsia"/>
          <w:snapToGrid w:val="0"/>
          <w:spacing w:val="-4"/>
          <w:kern w:val="32"/>
          <w:szCs w:val="32"/>
        </w:rPr>
        <w:t>七、正文最上方附课题作者（课题组联系人）和本单位课题工作组织方及联络员的详细联系方式，格式为楷体五号字、左对齐。</w:t>
      </w:r>
    </w:p>
    <w:p w:rsidR="004458DF" w:rsidRPr="00902E4E" w:rsidRDefault="004458DF" w:rsidP="004458DF"/>
    <w:p w:rsidR="00234655" w:rsidRPr="004458DF" w:rsidRDefault="00234655"/>
    <w:sectPr w:rsidR="00234655" w:rsidRPr="004458DF" w:rsidSect="002346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8DF"/>
    <w:rsid w:val="00234655"/>
    <w:rsid w:val="004458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DF"/>
    <w:pPr>
      <w:widowControl w:val="0"/>
      <w:jc w:val="both"/>
    </w:pPr>
    <w:rPr>
      <w:rFonts w:ascii="Times New Roman" w:eastAsia="仿宋_GB2312" w:hAnsi="Times New Roman" w:cs="Times New Roman"/>
      <w:color w:val="000000"/>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于智慧</dc:creator>
  <cp:lastModifiedBy>于智慧</cp:lastModifiedBy>
  <cp:revision>1</cp:revision>
  <dcterms:created xsi:type="dcterms:W3CDTF">2017-05-02T01:48:00Z</dcterms:created>
  <dcterms:modified xsi:type="dcterms:W3CDTF">2017-05-02T01:48:00Z</dcterms:modified>
</cp:coreProperties>
</file>