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text" w:tblpX="1" w:tblpY="1"/>
        <w:tblW w:w="4906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052"/>
        <w:gridCol w:w="2960"/>
        <w:gridCol w:w="2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上海政法学院实验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室安全检查表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学院：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检查要点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情况记录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安全规章制度完善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是否有实验实训室安全管理制度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安全管理制度是否悬挂至实验室醒目位置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用电安全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是否使用不合格的电器具（三无产品、破损、老化）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是否私拉乱接或移动供电线路和装置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是否绕越计量装置使用电能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接线板使用总功率是否超过2KW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实验室暂停使用时是否切断电源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是否配备消防设施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消防通道是否通畅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危险化学品、易燃易爆物品管理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是否妥善保管危险化学品、易燃易爆物品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学院负责人：</w:t>
            </w: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检查小组成员：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2EB63735"/>
    <w:rsid w:val="2EB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236</Characters>
  <Lines>0</Lines>
  <Paragraphs>0</Paragraphs>
  <TotalTime>0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2023-02-21T02:00:00Z</dcterms:created>
  <dc:creator>Twilight lonesome</dc:creator>
  <cp:lastModifiedBy>Twilight lonesome</cp:lastModifiedBy>
  <dcterms:modified xsi:type="dcterms:W3CDTF">2023-02-21T02:00:28Z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5A15D462E89C48C89C752228243218E9</vt:lpwstr>
  </property>
</Properties>
</file>