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5"/>
        </w:rPr>
      </w:pPr>
      <w:bookmarkStart w:id="0" w:name="_Toc454360960"/>
      <w:r>
        <w:rPr>
          <w:rStyle w:val="5"/>
          <w:rFonts w:hint="eastAsia"/>
        </w:rPr>
        <w:t>上海政法学院硕士学位研究生导师管理办法</w:t>
      </w:r>
      <w:bookmarkEnd w:id="0"/>
    </w:p>
    <w:p>
      <w:pPr>
        <w:jc w:val="center"/>
        <w:rPr>
          <w:rFonts w:ascii="仿宋_GB2312" w:eastAsia="仿宋_GB2312" w:cs="仿宋_GB2312"/>
          <w:color w:val="000000"/>
        </w:rPr>
      </w:pPr>
    </w:p>
    <w:p>
      <w:pPr>
        <w:jc w:val="center"/>
        <w:rPr>
          <w:rFonts w:hint="eastAsia" w:ascii="宋体" w:hAnsi="宋体" w:cs="宋体"/>
          <w:b/>
          <w:color w:val="000000"/>
          <w:sz w:val="28"/>
          <w:szCs w:val="28"/>
        </w:rPr>
      </w:pPr>
      <w:r>
        <w:rPr>
          <w:rFonts w:hint="eastAsia" w:ascii="宋体" w:hAnsi="宋体" w:cs="宋体"/>
          <w:b/>
          <w:color w:val="000000"/>
          <w:sz w:val="28"/>
          <w:szCs w:val="28"/>
        </w:rPr>
        <w:t>第一章  总则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jc w:val="center"/>
        <w:rPr>
          <w:rFonts w:hint="eastAsia" w:ascii="宋体" w:hAnsi="宋体" w:cs="宋体"/>
          <w:b/>
          <w:color w:val="000000"/>
          <w:sz w:val="28"/>
          <w:szCs w:val="28"/>
        </w:rPr>
      </w:pPr>
      <w:r>
        <w:rPr>
          <w:rFonts w:hint="eastAsia" w:ascii="宋体" w:hAnsi="宋体" w:cs="宋体"/>
          <w:b/>
          <w:color w:val="000000"/>
          <w:sz w:val="28"/>
          <w:szCs w:val="28"/>
        </w:rPr>
        <w:t>第二章  硕士生导师任职条件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第二条  硕士生导师任职应具备下列条件：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（一）拥护党的基本路线，遵纪守法，热爱研究生教育事业，熟悉国家有关学位与研究生教育的政策法规，遵守学术道德规范，治学严谨，作风正派，能教书育人，为人师表；</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（二）身体健康，具有高级专业技术职称，同等条件下，具有指导或协助指导硕士研究生工作经历者优先；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（三）所从事研究工作的主要研究方向属于我校当年确定列入招收培养硕士研究生计划的学科、专业领域；</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（四）具有较高的学术造诣，熟悉本学科、专业科研工作的前沿情况和发展动态，能独立从事创造性的学术研究，具有在本学科、专业工作实践中寻求科研课题和解决实际问题的能力：</w:t>
      </w:r>
    </w:p>
    <w:p>
      <w:pPr>
        <w:autoSpaceDE w:val="0"/>
        <w:autoSpaceDN w:val="0"/>
        <w:adjustRightInd w:val="0"/>
        <w:ind w:firstLine="480" w:firstLineChars="200"/>
        <w:rPr>
          <w:rFonts w:hint="eastAsia" w:ascii="宋体" w:hAnsi="宋体" w:cs="宋体"/>
          <w:color w:val="FF0000"/>
          <w:kern w:val="0"/>
        </w:rPr>
      </w:pPr>
      <w:r>
        <w:rPr>
          <w:rFonts w:hint="eastAsia" w:ascii="宋体" w:hAnsi="宋体" w:cs="宋体"/>
          <w:color w:val="FF0000"/>
          <w:kern w:val="0"/>
        </w:rPr>
        <w:t>1.近三年来，在国内外公开发行的学术刊物上发表5篇（含5篇）以上本学科科研学术论文（本人应是第一作者），</w:t>
      </w:r>
      <w:bookmarkStart w:id="1" w:name="_GoBack"/>
      <w:bookmarkEnd w:id="1"/>
      <w:r>
        <w:rPr>
          <w:rFonts w:hint="eastAsia" w:ascii="宋体" w:hAnsi="宋体" w:cs="宋体"/>
          <w:color w:val="FF0000"/>
          <w:kern w:val="0"/>
        </w:rPr>
        <w:t>其中至少3篇在核心期刊公开发表；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2.原则上应作为课题第一负责人正在主持承担省部（市）级以上的与本学科相关的科研项目或课题；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3.有明确并相对稳定的科研方向，并有相应的指导研究所需的科研经费。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（五）有较丰富的教学经验，具有独立开设本专业硕士研究生主干课程的能力：</w:t>
      </w:r>
    </w:p>
    <w:p>
      <w:pPr>
        <w:autoSpaceDE w:val="0"/>
        <w:autoSpaceDN w:val="0"/>
        <w:adjustRightInd w:val="0"/>
        <w:ind w:firstLine="480" w:firstLineChars="200"/>
        <w:rPr>
          <w:rFonts w:hint="eastAsia" w:ascii="宋体" w:hAnsi="宋体" w:cs="宋体"/>
          <w:color w:val="FF0000"/>
          <w:kern w:val="0"/>
        </w:rPr>
      </w:pPr>
      <w:r>
        <w:rPr>
          <w:rFonts w:hint="eastAsia" w:ascii="宋体" w:hAnsi="宋体" w:cs="宋体"/>
          <w:color w:val="FF0000"/>
          <w:kern w:val="0"/>
        </w:rPr>
        <w:t>1.具有与我校硕士学位点建设相关的学科、专业的本科教学经历，且近三年无教学事故；</w:t>
      </w:r>
    </w:p>
    <w:p>
      <w:pPr>
        <w:autoSpaceDE w:val="0"/>
        <w:autoSpaceDN w:val="0"/>
        <w:adjustRightInd w:val="0"/>
        <w:ind w:firstLine="480" w:firstLineChars="200"/>
        <w:rPr>
          <w:rFonts w:hint="eastAsia" w:ascii="宋体" w:hAnsi="宋体" w:cs="宋体"/>
          <w:color w:val="FF0000"/>
          <w:kern w:val="0"/>
        </w:rPr>
      </w:pPr>
      <w:r>
        <w:rPr>
          <w:rFonts w:hint="eastAsia" w:ascii="宋体" w:hAnsi="宋体" w:cs="宋体"/>
          <w:color w:val="FF0000"/>
          <w:kern w:val="0"/>
        </w:rPr>
        <w:t>2.能够独立开设一门（含一门）以上本专业硕士研究生的主干课程；</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3.专职科研人员或在学术界有一定声望或在所在学科有一定影响的特殊人才，其本科教学经历可以适当放宽。</w:t>
      </w:r>
    </w:p>
    <w:p>
      <w:pPr>
        <w:jc w:val="center"/>
        <w:rPr>
          <w:rFonts w:hint="eastAsia" w:ascii="宋体" w:hAnsi="宋体" w:cs="宋体"/>
          <w:b/>
          <w:color w:val="000000"/>
          <w:sz w:val="28"/>
          <w:szCs w:val="28"/>
        </w:rPr>
      </w:pPr>
      <w:r>
        <w:rPr>
          <w:rFonts w:hint="eastAsia" w:ascii="宋体" w:hAnsi="宋体" w:cs="宋体"/>
          <w:b/>
          <w:color w:val="000000"/>
          <w:sz w:val="28"/>
          <w:szCs w:val="28"/>
        </w:rPr>
        <w:t>第三章  硕士生导师的选聘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第四条   硕士生导师的选聘程序：</w:t>
      </w:r>
    </w:p>
    <w:p>
      <w:pPr>
        <w:autoSpaceDE w:val="0"/>
        <w:autoSpaceDN w:val="0"/>
        <w:adjustRightInd w:val="0"/>
        <w:ind w:firstLine="480" w:firstLineChars="200"/>
        <w:rPr>
          <w:rFonts w:hint="eastAsia" w:ascii="宋体" w:hAnsi="宋体" w:cs="宋体"/>
          <w:color w:val="auto"/>
          <w:kern w:val="0"/>
        </w:rPr>
      </w:pPr>
      <w:r>
        <w:rPr>
          <w:rFonts w:hint="eastAsia" w:ascii="宋体" w:hAnsi="宋体" w:cs="宋体"/>
          <w:color w:val="auto"/>
          <w:kern w:val="0"/>
        </w:rPr>
        <w:t>（一）申请人填写《上海政法学院硕士研究生导师资格申报表》，并提交遴选条件所规定的材料；</w:t>
      </w:r>
    </w:p>
    <w:p>
      <w:pPr>
        <w:autoSpaceDE w:val="0"/>
        <w:autoSpaceDN w:val="0"/>
        <w:adjustRightInd w:val="0"/>
        <w:ind w:firstLine="480" w:firstLineChars="200"/>
        <w:rPr>
          <w:rFonts w:hint="eastAsia" w:ascii="宋体" w:hAnsi="宋体" w:cs="宋体"/>
          <w:color w:val="auto"/>
          <w:kern w:val="0"/>
        </w:rPr>
      </w:pPr>
      <w:r>
        <w:rPr>
          <w:rFonts w:hint="eastAsia" w:ascii="宋体" w:hAnsi="宋体" w:cs="宋体"/>
          <w:color w:val="auto"/>
          <w:kern w:val="0"/>
        </w:rPr>
        <w:t>（二）学校研究生处将申请人的申报材料汇总并提交学校学位评定委员会审议、表决；</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（三）获得硕士生导师资格者，由校长聘任担任硕士生导师，聘期为三年。获聘的硕士生导师，根据本人科研工作，对照本学科专业培养方案中的研究方向申请招生名额。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第六条   申请硕士生导师选聘的人员年龄原则上不应超过58周岁。因学科建设和硕士研究生教育工作需要，符合《上海政法学院关于高级专家延长退休年龄的暂行规定（</w:t>
      </w:r>
      <w:r>
        <w:rPr>
          <w:rFonts w:hint="eastAsia" w:ascii="楷体_GB2312" w:hAnsi="宋体" w:eastAsia="楷体_GB2312" w:cs="宋体"/>
          <w:kern w:val="0"/>
        </w:rPr>
        <w:t>沪政院人字[2011]170号</w:t>
      </w:r>
      <w:r>
        <w:rPr>
          <w:rFonts w:hint="eastAsia" w:ascii="宋体" w:hAnsi="宋体" w:cs="宋体"/>
          <w:kern w:val="0"/>
        </w:rPr>
        <w:t>）》的教学、科研人员可参照本办法聘为硕士生导师。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延聘或返聘的硕士生导师，原则上要承担硕士生的教学、科研、硕士学位论文指导等培养工作。具体指导任务由延聘或返聘的硕士生导师与本专业负责人及研究生处协商确定。</w:t>
      </w:r>
    </w:p>
    <w:p>
      <w:pPr>
        <w:jc w:val="center"/>
        <w:rPr>
          <w:rFonts w:hint="eastAsia" w:ascii="宋体" w:hAnsi="宋体" w:cs="宋体"/>
          <w:b/>
          <w:color w:val="000000"/>
          <w:sz w:val="28"/>
          <w:szCs w:val="28"/>
        </w:rPr>
      </w:pPr>
      <w:r>
        <w:rPr>
          <w:rFonts w:hint="eastAsia" w:ascii="宋体" w:hAnsi="宋体" w:cs="宋体"/>
          <w:b/>
          <w:color w:val="000000"/>
          <w:sz w:val="28"/>
          <w:szCs w:val="28"/>
        </w:rPr>
        <w:t>第四章  硕士生导师的职责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第七条  硕士生导师应履行以下职责：</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（一）根据学校的安排参与硕士研究生招生考试的命题、阅卷、复试等有关工作；</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（二）参与制定本专业硕士研究生的培养方案、教学计划、课程建设以及教学大纲；</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（三）承担硕士研究生的教学工作，制定本人所指导的硕士研究生的个人业务培养计划，定期指导、检查学生的课程学习、课题研究及培养方案规定的各项指标的执行情况；</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（四）协助研究生处做好硕士研究生的中期考核工作；</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（五）指导并审定本人所指导的硕士生的学位论文写作计划，做好论文评阅、答辩工作，提出答辩与否的推荐意见；</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（六）贯彻党和国家的教育方针，关心硕士研究生的成长，定期与学生沟通，深入了解情况，引导硕士研究生树立严谨的治学态度和崇高的敬业精神；协助学校有关部门做好学生的管理工作；</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（七）研究、总结硕士研究生教育和学位工作的规律和经验，提出改进意见和建议，完善培养措施和方法，保证硕士研究生教育和学位工作质量；</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（八）履行国家和学校规定的其他职责。</w:t>
      </w:r>
    </w:p>
    <w:p>
      <w:pPr>
        <w:jc w:val="center"/>
        <w:rPr>
          <w:rFonts w:hint="eastAsia" w:ascii="宋体" w:hAnsi="宋体" w:cs="宋体"/>
          <w:b/>
          <w:color w:val="000000" w:themeColor="text1"/>
          <w:sz w:val="28"/>
          <w:szCs w:val="28"/>
        </w:rPr>
      </w:pPr>
      <w:r>
        <w:rPr>
          <w:rFonts w:hint="eastAsia" w:ascii="宋体" w:hAnsi="宋体" w:cs="宋体"/>
          <w:b/>
          <w:color w:val="000000" w:themeColor="text1"/>
          <w:sz w:val="28"/>
          <w:szCs w:val="28"/>
        </w:rPr>
        <w:t>第五章  硕士生导师的管理、考核与培训</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第八条   硕士生导师指导研究生人数原则上每届不超过3人，硕士生导师确定后一般不予更换。若遇特殊情况，经本专业导师组商议，可适当放宽硕士生导师指导研究生的人数限制，报研究生处备案。</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第九条  硕士生导师的教学工作量按照与我校本科生教学工作量1：1.5的比例进行计算。导师每指导一名学生每月发放工作津贴100元。</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第十条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第十一条  硕士生导师指导研究生论文的盲检通过率应达到上海市学位办相关要求。</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第十二条  硕士生导师应积极致力于探索、研究硕士研究生课程体系化建设与教育教学方法的改革。有突出成绩或取得实效者，学校予以奖励。</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第十四条  硕士生导师出现下列情况之一，暂停招生或酌情减少招生名额：</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（一）在每学年第一学期结束前对本专业硕士生导师进行的任职资格复查中，被确认不履行导师职责、难以保证培养质量者；</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（二）连续三年没有明确的相对稳定的研究方向，且没有足够的指导研究生所需的科研经费的；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（三）近三年来没有通过我校科研工作量考核的；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（四）近三年来未取得较高水平的科研成果、没有公开出版的著作或未在国内外刊物和专业学术会议上发表过学术论文的；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（五）没有足够的时间和精力指导硕士研究生的课程学习和科研论文工作的；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（六）不能胜任导师职责要求，拒绝或拖延学校下达的相关培养工作和任务，产生一定后果的；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（七）违反学校及国家有关法律法规、经校长办公会议研究认定不宜继续担任硕士生导师的。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第十五条  硕士生导师有下列情况之一需要取消资格的，由学校学位评定委员会审议、签署意见并核准：</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（一）被学校学位委员会解除聘任资格的；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（二）审核不合格的；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（三）不能履行实际指导硕士研究生职责持续一年（含一年）以上的；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（四）无正当理由拒绝履行硕士生导师职责的；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（五）严重违反法纪和学校规章制度，不能做到教书育人、为人师表的；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（六）有国家和学校规定的其他情况的。</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第十六条  硕士生导师被取消资格后，应向本专业承接其工作的导师完整交接培养工作。</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第十七条  硕士生导师因个人原因不愿继续履行职责的，可提出辞去该工作的请求，经学校学位评定委员会同意并批准后，办理培养工作移交手续。</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为全面提高硕士生导师的综合素质，研究生处定期对硕士生导师进行研究生基础教育教学方法和课程建设等方面的培训。</w:t>
      </w:r>
    </w:p>
    <w:p>
      <w:pPr>
        <w:jc w:val="center"/>
        <w:rPr>
          <w:rFonts w:hint="eastAsia" w:ascii="宋体" w:hAnsi="宋体" w:cs="宋体"/>
          <w:b/>
          <w:color w:val="000000" w:themeColor="text1"/>
          <w:sz w:val="28"/>
          <w:szCs w:val="28"/>
        </w:rPr>
      </w:pPr>
      <w:r>
        <w:rPr>
          <w:rFonts w:hint="eastAsia" w:ascii="宋体" w:hAnsi="宋体" w:cs="宋体"/>
          <w:b/>
          <w:color w:val="000000" w:themeColor="text1"/>
          <w:sz w:val="28"/>
          <w:szCs w:val="28"/>
        </w:rPr>
        <w:t>第六章  其他事项</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第十八条  硕士生导师的选聘应从有利于学科建设出发，吸收德才兼备的中青年教师，建立梯队结构合理的导师队伍。对于45岁以下高级专业技术职务人员，尤其是具有博士学位者应优先选聘。</w:t>
      </w:r>
    </w:p>
    <w:p>
      <w:pPr>
        <w:autoSpaceDE w:val="0"/>
        <w:autoSpaceDN w:val="0"/>
        <w:adjustRightInd w:val="0"/>
        <w:ind w:firstLine="480" w:firstLineChars="200"/>
        <w:rPr>
          <w:rFonts w:hint="eastAsia" w:ascii="宋体" w:hAnsi="宋体" w:cs="宋体"/>
          <w:color w:val="000000" w:themeColor="text1"/>
          <w:kern w:val="0"/>
        </w:rPr>
      </w:pPr>
      <w:r>
        <w:rPr>
          <w:rFonts w:hint="eastAsia" w:ascii="宋体" w:hAnsi="宋体" w:cs="宋体"/>
          <w:color w:val="000000" w:themeColor="text1"/>
          <w:kern w:val="0"/>
        </w:rPr>
        <w:t>第十九条  本办法由学校研究生处负责解释，自2017年9月1日起执行。</w:t>
      </w:r>
    </w:p>
    <w:p>
      <w:pPr>
        <w:rPr>
          <w:rFonts w:hint="eastAsia"/>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925"/>
    <w:rsid w:val="00235639"/>
    <w:rsid w:val="00A43925"/>
    <w:rsid w:val="057D159E"/>
    <w:rsid w:val="17EF1AB6"/>
    <w:rsid w:val="28682562"/>
    <w:rsid w:val="2FD20114"/>
    <w:rsid w:val="30D057D0"/>
    <w:rsid w:val="51732F0A"/>
    <w:rsid w:val="519B3319"/>
    <w:rsid w:val="59E16684"/>
    <w:rsid w:val="5D4A4FF4"/>
    <w:rsid w:val="602750B8"/>
    <w:rsid w:val="6CC5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99"/>
    <w:pPr>
      <w:spacing w:after="140"/>
      <w:jc w:val="center"/>
      <w:outlineLvl w:val="0"/>
    </w:pPr>
    <w:rPr>
      <w:rFonts w:ascii="Calibri Light" w:hAnsi="Calibri Light"/>
      <w:b/>
      <w:bCs/>
      <w:sz w:val="36"/>
      <w:szCs w:val="32"/>
    </w:rPr>
  </w:style>
  <w:style w:type="character" w:customStyle="1" w:styleId="5">
    <w:name w:val="标题 Char"/>
    <w:basedOn w:val="4"/>
    <w:link w:val="2"/>
    <w:qFormat/>
    <w:uiPriority w:val="99"/>
    <w:rPr>
      <w:rFonts w:ascii="Calibri Light" w:hAnsi="Calibri Light" w:eastAsia="宋体" w:cs="Times New Roman"/>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2839</Characters>
  <Lines>23</Lines>
  <Paragraphs>6</Paragraphs>
  <TotalTime>18</TotalTime>
  <ScaleCrop>false</ScaleCrop>
  <LinksUpToDate>false</LinksUpToDate>
  <CharactersWithSpaces>3331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2017-07-05T03:00:00Z</dcterms:created>
  <dc:creator>黄丹丹</dc:creator>
  <cp:lastModifiedBy>鹿 歌</cp:lastModifiedBy>
  <dcterms:modified xsi:type="dcterms:W3CDTF">2020-11-28T12:14:33Z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