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上海政法学院80比赛报名表</w:t>
      </w:r>
    </w:p>
    <w:p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 xml:space="preserve">        </w:t>
      </w:r>
      <w:r>
        <w:rPr>
          <w:rFonts w:hint="eastAsia"/>
          <w:b/>
          <w:sz w:val="30"/>
          <w:szCs w:val="30"/>
        </w:rPr>
        <w:t>分工会、领队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手机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 xml:space="preserve">    年   月   日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队员名单</w:t>
            </w:r>
          </w:p>
        </w:tc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组别（A、B）</w:t>
            </w: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vAlign w:val="top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注：① 此表（纸质）于5月10日（周二）前报送机关三分工会行政楼113室。</w:t>
      </w:r>
    </w:p>
    <w:p>
      <w:pPr>
        <w:widowControl/>
        <w:ind w:firstLine="596" w:firstLineChars="198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②赛前培训讲解于5月17日下午一点在院工会二楼活动室，每队可派1-2名前来参加。</w:t>
      </w:r>
    </w:p>
    <w:p>
      <w:pPr>
        <w:widowControl/>
        <w:ind w:firstLine="596" w:firstLineChars="198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③联系人：戴锦良 电话：39225078  手机：13621688784</w:t>
      </w:r>
    </w:p>
    <w:p>
      <w:pPr>
        <w:widowControl/>
        <w:ind w:firstLine="596" w:firstLineChars="198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棋牌社团（机关三分工会承办）</w:t>
      </w:r>
    </w:p>
    <w:p>
      <w:pPr>
        <w:widowControl/>
        <w:jc w:val="center"/>
      </w:pPr>
      <w:r>
        <w:rPr>
          <w:rFonts w:hint="eastAsia"/>
          <w:b/>
          <w:sz w:val="30"/>
          <w:szCs w:val="30"/>
        </w:rPr>
        <w:t xml:space="preserve"> 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sz w:val="30"/>
          <w:szCs w:val="30"/>
        </w:rPr>
        <w:t>2016.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.6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271C2"/>
    <w:rsid w:val="51A271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2016-05-06T02:49:00Z</dcterms:created>
  <dc:creator>潘牧天</dc:creator>
  <cp:lastModifiedBy>潘牧天</cp:lastModifiedBy>
  <dcterms:modified xsi:type="dcterms:W3CDTF">2016-05-06T02:50:24Z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